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2C31" w14:textId="326B16B1" w:rsidR="00602805" w:rsidRDefault="00D84C63" w:rsidP="00D84C63">
      <w:pPr>
        <w:pStyle w:val="Titre"/>
      </w:pPr>
      <w:r>
        <w:t>Mission pour le développement de l’attractivité des métiers de l’autonomie</w:t>
      </w:r>
    </w:p>
    <w:p w14:paraId="515241E4" w14:textId="0A8AAB83" w:rsidR="00607E11" w:rsidRDefault="00607E11" w:rsidP="00607E11">
      <w:pPr>
        <w:pBdr>
          <w:bottom w:val="dotted" w:sz="24" w:space="1" w:color="auto"/>
        </w:pBdr>
      </w:pPr>
    </w:p>
    <w:p w14:paraId="6F20458C" w14:textId="028021C6" w:rsidR="00607E11" w:rsidRDefault="00607E11" w:rsidP="00607E11"/>
    <w:p w14:paraId="089C6972" w14:textId="77777777" w:rsidR="00607E11" w:rsidRPr="00607E11" w:rsidRDefault="00607E11" w:rsidP="00607E11"/>
    <w:p w14:paraId="7CF4CEB8" w14:textId="26F00549" w:rsidR="00D84C63" w:rsidRDefault="00412705" w:rsidP="00D84C63">
      <w:pPr>
        <w:pStyle w:val="Titre"/>
      </w:pPr>
      <w:r>
        <w:t>Point au 15</w:t>
      </w:r>
      <w:r w:rsidR="00602805">
        <w:t xml:space="preserve"> juillet</w:t>
      </w:r>
      <w:r w:rsidR="00D84C63">
        <w:t xml:space="preserve"> </w:t>
      </w:r>
    </w:p>
    <w:p w14:paraId="11618EEA" w14:textId="50135859" w:rsidR="00BC11BA" w:rsidRDefault="00BC11BA" w:rsidP="00BC11BA"/>
    <w:sdt>
      <w:sdtPr>
        <w:rPr>
          <w:rFonts w:asciiTheme="minorHAnsi" w:eastAsiaTheme="minorHAnsi" w:hAnsiTheme="minorHAnsi" w:cstheme="minorBidi"/>
          <w:color w:val="auto"/>
          <w:sz w:val="22"/>
          <w:szCs w:val="22"/>
          <w:lang w:eastAsia="en-US"/>
        </w:rPr>
        <w:id w:val="-1052767185"/>
        <w:docPartObj>
          <w:docPartGallery w:val="Table of Contents"/>
          <w:docPartUnique/>
        </w:docPartObj>
      </w:sdtPr>
      <w:sdtEndPr>
        <w:rPr>
          <w:b/>
          <w:bCs/>
        </w:rPr>
      </w:sdtEndPr>
      <w:sdtContent>
        <w:p w14:paraId="0DC33E74" w14:textId="70C0FFB3" w:rsidR="00F9389F" w:rsidRDefault="00F9389F">
          <w:pPr>
            <w:pStyle w:val="En-ttedetabledesmatires"/>
          </w:pPr>
          <w:r>
            <w:t>Table des matières</w:t>
          </w:r>
        </w:p>
        <w:p w14:paraId="75B09531" w14:textId="19527F5D" w:rsidR="00422A21" w:rsidRDefault="00F9389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77328903" w:history="1">
            <w:r w:rsidR="00422A21" w:rsidRPr="00EF7ECE">
              <w:rPr>
                <w:rStyle w:val="Lienhypertexte"/>
                <w:noProof/>
              </w:rPr>
              <w:t>1</w:t>
            </w:r>
            <w:r w:rsidR="00422A21">
              <w:rPr>
                <w:rFonts w:eastAsiaTheme="minorEastAsia"/>
                <w:noProof/>
                <w:lang w:eastAsia="fr-FR"/>
              </w:rPr>
              <w:tab/>
            </w:r>
            <w:r w:rsidR="00422A21" w:rsidRPr="00EF7ECE">
              <w:rPr>
                <w:rStyle w:val="Lienhypertexte"/>
                <w:noProof/>
              </w:rPr>
              <w:t>Formation - apprentissage</w:t>
            </w:r>
            <w:r w:rsidR="00422A21">
              <w:rPr>
                <w:noProof/>
                <w:webHidden/>
              </w:rPr>
              <w:tab/>
            </w:r>
            <w:r w:rsidR="00422A21">
              <w:rPr>
                <w:noProof/>
                <w:webHidden/>
              </w:rPr>
              <w:fldChar w:fldCharType="begin"/>
            </w:r>
            <w:r w:rsidR="00422A21">
              <w:rPr>
                <w:noProof/>
                <w:webHidden/>
              </w:rPr>
              <w:instrText xml:space="preserve"> PAGEREF _Toc77328903 \h </w:instrText>
            </w:r>
            <w:r w:rsidR="00422A21">
              <w:rPr>
                <w:noProof/>
                <w:webHidden/>
              </w:rPr>
            </w:r>
            <w:r w:rsidR="00422A21">
              <w:rPr>
                <w:noProof/>
                <w:webHidden/>
              </w:rPr>
              <w:fldChar w:fldCharType="separate"/>
            </w:r>
            <w:r w:rsidR="00422A21">
              <w:rPr>
                <w:noProof/>
                <w:webHidden/>
              </w:rPr>
              <w:t>5</w:t>
            </w:r>
            <w:r w:rsidR="00422A21">
              <w:rPr>
                <w:noProof/>
                <w:webHidden/>
              </w:rPr>
              <w:fldChar w:fldCharType="end"/>
            </w:r>
          </w:hyperlink>
        </w:p>
        <w:p w14:paraId="12586F7E" w14:textId="7A5966BC" w:rsidR="00422A21" w:rsidRDefault="00895E1A">
          <w:pPr>
            <w:pStyle w:val="TM2"/>
            <w:tabs>
              <w:tab w:val="left" w:pos="880"/>
              <w:tab w:val="right" w:leader="dot" w:pos="9062"/>
            </w:tabs>
            <w:rPr>
              <w:rFonts w:eastAsiaTheme="minorEastAsia"/>
              <w:noProof/>
              <w:lang w:eastAsia="fr-FR"/>
            </w:rPr>
          </w:pPr>
          <w:hyperlink w:anchor="_Toc77328904" w:history="1">
            <w:r w:rsidR="00422A21" w:rsidRPr="00EF7ECE">
              <w:rPr>
                <w:rStyle w:val="Lienhypertexte"/>
                <w:noProof/>
              </w:rPr>
              <w:t>1.1</w:t>
            </w:r>
            <w:r w:rsidR="00422A21">
              <w:rPr>
                <w:rFonts w:eastAsiaTheme="minorEastAsia"/>
                <w:noProof/>
                <w:lang w:eastAsia="fr-FR"/>
              </w:rPr>
              <w:tab/>
            </w:r>
            <w:r w:rsidR="00422A21" w:rsidRPr="00EF7ECE">
              <w:rPr>
                <w:rStyle w:val="Lienhypertexte"/>
                <w:noProof/>
              </w:rPr>
              <w:t>Le recrutement : parer à l’urgence</w:t>
            </w:r>
            <w:r w:rsidR="00422A21">
              <w:rPr>
                <w:noProof/>
                <w:webHidden/>
              </w:rPr>
              <w:tab/>
            </w:r>
            <w:r w:rsidR="00422A21">
              <w:rPr>
                <w:noProof/>
                <w:webHidden/>
              </w:rPr>
              <w:fldChar w:fldCharType="begin"/>
            </w:r>
            <w:r w:rsidR="00422A21">
              <w:rPr>
                <w:noProof/>
                <w:webHidden/>
              </w:rPr>
              <w:instrText xml:space="preserve"> PAGEREF _Toc77328904 \h </w:instrText>
            </w:r>
            <w:r w:rsidR="00422A21">
              <w:rPr>
                <w:noProof/>
                <w:webHidden/>
              </w:rPr>
            </w:r>
            <w:r w:rsidR="00422A21">
              <w:rPr>
                <w:noProof/>
                <w:webHidden/>
              </w:rPr>
              <w:fldChar w:fldCharType="separate"/>
            </w:r>
            <w:r w:rsidR="00422A21">
              <w:rPr>
                <w:noProof/>
                <w:webHidden/>
              </w:rPr>
              <w:t>5</w:t>
            </w:r>
            <w:r w:rsidR="00422A21">
              <w:rPr>
                <w:noProof/>
                <w:webHidden/>
              </w:rPr>
              <w:fldChar w:fldCharType="end"/>
            </w:r>
          </w:hyperlink>
        </w:p>
        <w:p w14:paraId="65B9DD75" w14:textId="40CBC53B" w:rsidR="00422A21" w:rsidRDefault="00895E1A">
          <w:pPr>
            <w:pStyle w:val="TM3"/>
            <w:tabs>
              <w:tab w:val="left" w:pos="1320"/>
              <w:tab w:val="right" w:leader="dot" w:pos="9062"/>
            </w:tabs>
            <w:rPr>
              <w:rFonts w:eastAsiaTheme="minorEastAsia"/>
              <w:noProof/>
              <w:lang w:eastAsia="fr-FR"/>
            </w:rPr>
          </w:pPr>
          <w:hyperlink w:anchor="_Toc77328905" w:history="1">
            <w:r w:rsidR="00422A21" w:rsidRPr="00EF7ECE">
              <w:rPr>
                <w:rStyle w:val="Lienhypertexte"/>
                <w:noProof/>
              </w:rPr>
              <w:t>1.1.1</w:t>
            </w:r>
            <w:r w:rsidR="00422A21">
              <w:rPr>
                <w:rFonts w:eastAsiaTheme="minorEastAsia"/>
                <w:noProof/>
                <w:lang w:eastAsia="fr-FR"/>
              </w:rPr>
              <w:tab/>
            </w:r>
            <w:r w:rsidR="00422A21" w:rsidRPr="00EF7ECE">
              <w:rPr>
                <w:rStyle w:val="Lienhypertexte"/>
                <w:noProof/>
              </w:rPr>
              <w:t>Le plan de recrutement d’urgence lancé par la DGCS et la DGEFP à l’automne 2020</w:t>
            </w:r>
            <w:r w:rsidR="00422A21">
              <w:rPr>
                <w:noProof/>
                <w:webHidden/>
              </w:rPr>
              <w:tab/>
            </w:r>
            <w:r w:rsidR="00422A21">
              <w:rPr>
                <w:noProof/>
                <w:webHidden/>
              </w:rPr>
              <w:fldChar w:fldCharType="begin"/>
            </w:r>
            <w:r w:rsidR="00422A21">
              <w:rPr>
                <w:noProof/>
                <w:webHidden/>
              </w:rPr>
              <w:instrText xml:space="preserve"> PAGEREF _Toc77328905 \h </w:instrText>
            </w:r>
            <w:r w:rsidR="00422A21">
              <w:rPr>
                <w:noProof/>
                <w:webHidden/>
              </w:rPr>
            </w:r>
            <w:r w:rsidR="00422A21">
              <w:rPr>
                <w:noProof/>
                <w:webHidden/>
              </w:rPr>
              <w:fldChar w:fldCharType="separate"/>
            </w:r>
            <w:r w:rsidR="00422A21">
              <w:rPr>
                <w:noProof/>
                <w:webHidden/>
              </w:rPr>
              <w:t>5</w:t>
            </w:r>
            <w:r w:rsidR="00422A21">
              <w:rPr>
                <w:noProof/>
                <w:webHidden/>
              </w:rPr>
              <w:fldChar w:fldCharType="end"/>
            </w:r>
          </w:hyperlink>
        </w:p>
        <w:p w14:paraId="2671C38C" w14:textId="2E1B9420" w:rsidR="00422A21" w:rsidRDefault="00895E1A">
          <w:pPr>
            <w:pStyle w:val="TM3"/>
            <w:tabs>
              <w:tab w:val="left" w:pos="1320"/>
              <w:tab w:val="right" w:leader="dot" w:pos="9062"/>
            </w:tabs>
            <w:rPr>
              <w:rFonts w:eastAsiaTheme="minorEastAsia"/>
              <w:noProof/>
              <w:lang w:eastAsia="fr-FR"/>
            </w:rPr>
          </w:pPr>
          <w:hyperlink w:anchor="_Toc77328906" w:history="1">
            <w:r w:rsidR="00422A21" w:rsidRPr="00EF7ECE">
              <w:rPr>
                <w:rStyle w:val="Lienhypertexte"/>
                <w:noProof/>
              </w:rPr>
              <w:t>1.1.2</w:t>
            </w:r>
            <w:r w:rsidR="00422A21">
              <w:rPr>
                <w:rFonts w:eastAsiaTheme="minorEastAsia"/>
                <w:noProof/>
                <w:lang w:eastAsia="fr-FR"/>
              </w:rPr>
              <w:tab/>
            </w:r>
            <w:r w:rsidR="00422A21" w:rsidRPr="00EF7ECE">
              <w:rPr>
                <w:rStyle w:val="Lienhypertexte"/>
                <w:noProof/>
              </w:rPr>
              <w:t>Les formations courtes pour intégrer des professionnels non qualifiés</w:t>
            </w:r>
            <w:r w:rsidR="00422A21">
              <w:rPr>
                <w:noProof/>
                <w:webHidden/>
              </w:rPr>
              <w:tab/>
            </w:r>
            <w:r w:rsidR="00422A21">
              <w:rPr>
                <w:noProof/>
                <w:webHidden/>
              </w:rPr>
              <w:fldChar w:fldCharType="begin"/>
            </w:r>
            <w:r w:rsidR="00422A21">
              <w:rPr>
                <w:noProof/>
                <w:webHidden/>
              </w:rPr>
              <w:instrText xml:space="preserve"> PAGEREF _Toc77328906 \h </w:instrText>
            </w:r>
            <w:r w:rsidR="00422A21">
              <w:rPr>
                <w:noProof/>
                <w:webHidden/>
              </w:rPr>
            </w:r>
            <w:r w:rsidR="00422A21">
              <w:rPr>
                <w:noProof/>
                <w:webHidden/>
              </w:rPr>
              <w:fldChar w:fldCharType="separate"/>
            </w:r>
            <w:r w:rsidR="00422A21">
              <w:rPr>
                <w:noProof/>
                <w:webHidden/>
              </w:rPr>
              <w:t>5</w:t>
            </w:r>
            <w:r w:rsidR="00422A21">
              <w:rPr>
                <w:noProof/>
                <w:webHidden/>
              </w:rPr>
              <w:fldChar w:fldCharType="end"/>
            </w:r>
          </w:hyperlink>
        </w:p>
        <w:p w14:paraId="756796DE" w14:textId="3FCE3CA6" w:rsidR="00422A21" w:rsidRDefault="00895E1A">
          <w:pPr>
            <w:pStyle w:val="TM3"/>
            <w:tabs>
              <w:tab w:val="left" w:pos="1320"/>
              <w:tab w:val="right" w:leader="dot" w:pos="9062"/>
            </w:tabs>
            <w:rPr>
              <w:rFonts w:eastAsiaTheme="minorEastAsia"/>
              <w:noProof/>
              <w:lang w:eastAsia="fr-FR"/>
            </w:rPr>
          </w:pPr>
          <w:hyperlink w:anchor="_Toc77328907" w:history="1">
            <w:r w:rsidR="00422A21" w:rsidRPr="00EF7ECE">
              <w:rPr>
                <w:rStyle w:val="Lienhypertexte"/>
                <w:noProof/>
              </w:rPr>
              <w:t>1.1.3</w:t>
            </w:r>
            <w:r w:rsidR="00422A21">
              <w:rPr>
                <w:rFonts w:eastAsiaTheme="minorEastAsia"/>
                <w:noProof/>
                <w:lang w:eastAsia="fr-FR"/>
              </w:rPr>
              <w:tab/>
            </w:r>
            <w:r w:rsidR="00422A21" w:rsidRPr="00EF7ECE">
              <w:rPr>
                <w:rStyle w:val="Lienhypertexte"/>
                <w:noProof/>
              </w:rPr>
              <w:t>2110 parcours qualifiants pour les nouveaux entrants et les « faisant-fonction »</w:t>
            </w:r>
            <w:r w:rsidR="00422A21">
              <w:rPr>
                <w:noProof/>
                <w:webHidden/>
              </w:rPr>
              <w:tab/>
            </w:r>
            <w:r w:rsidR="00422A21">
              <w:rPr>
                <w:noProof/>
                <w:webHidden/>
              </w:rPr>
              <w:fldChar w:fldCharType="begin"/>
            </w:r>
            <w:r w:rsidR="00422A21">
              <w:rPr>
                <w:noProof/>
                <w:webHidden/>
              </w:rPr>
              <w:instrText xml:space="preserve"> PAGEREF _Toc77328907 \h </w:instrText>
            </w:r>
            <w:r w:rsidR="00422A21">
              <w:rPr>
                <w:noProof/>
                <w:webHidden/>
              </w:rPr>
            </w:r>
            <w:r w:rsidR="00422A21">
              <w:rPr>
                <w:noProof/>
                <w:webHidden/>
              </w:rPr>
              <w:fldChar w:fldCharType="separate"/>
            </w:r>
            <w:r w:rsidR="00422A21">
              <w:rPr>
                <w:noProof/>
                <w:webHidden/>
              </w:rPr>
              <w:t>6</w:t>
            </w:r>
            <w:r w:rsidR="00422A21">
              <w:rPr>
                <w:noProof/>
                <w:webHidden/>
              </w:rPr>
              <w:fldChar w:fldCharType="end"/>
            </w:r>
          </w:hyperlink>
        </w:p>
        <w:p w14:paraId="2213A7A7" w14:textId="679F6920" w:rsidR="00422A21" w:rsidRDefault="00895E1A">
          <w:pPr>
            <w:pStyle w:val="TM3"/>
            <w:tabs>
              <w:tab w:val="left" w:pos="1320"/>
              <w:tab w:val="right" w:leader="dot" w:pos="9062"/>
            </w:tabs>
            <w:rPr>
              <w:rFonts w:eastAsiaTheme="minorEastAsia"/>
              <w:noProof/>
              <w:lang w:eastAsia="fr-FR"/>
            </w:rPr>
          </w:pPr>
          <w:hyperlink w:anchor="_Toc77328908" w:history="1">
            <w:r w:rsidR="00422A21" w:rsidRPr="00EF7ECE">
              <w:rPr>
                <w:rStyle w:val="Lienhypertexte"/>
                <w:noProof/>
              </w:rPr>
              <w:t>1.1.4</w:t>
            </w:r>
            <w:r w:rsidR="00422A21">
              <w:rPr>
                <w:rFonts w:eastAsiaTheme="minorEastAsia"/>
                <w:noProof/>
                <w:lang w:eastAsia="fr-FR"/>
              </w:rPr>
              <w:tab/>
            </w:r>
            <w:r w:rsidR="00422A21" w:rsidRPr="00EF7ECE">
              <w:rPr>
                <w:rStyle w:val="Lienhypertexte"/>
                <w:noProof/>
              </w:rPr>
              <w:t>Mise en visibilité de l’offre de formation</w:t>
            </w:r>
            <w:r w:rsidR="00422A21">
              <w:rPr>
                <w:noProof/>
                <w:webHidden/>
              </w:rPr>
              <w:tab/>
            </w:r>
            <w:r w:rsidR="00422A21">
              <w:rPr>
                <w:noProof/>
                <w:webHidden/>
              </w:rPr>
              <w:fldChar w:fldCharType="begin"/>
            </w:r>
            <w:r w:rsidR="00422A21">
              <w:rPr>
                <w:noProof/>
                <w:webHidden/>
              </w:rPr>
              <w:instrText xml:space="preserve"> PAGEREF _Toc77328908 \h </w:instrText>
            </w:r>
            <w:r w:rsidR="00422A21">
              <w:rPr>
                <w:noProof/>
                <w:webHidden/>
              </w:rPr>
            </w:r>
            <w:r w:rsidR="00422A21">
              <w:rPr>
                <w:noProof/>
                <w:webHidden/>
              </w:rPr>
              <w:fldChar w:fldCharType="separate"/>
            </w:r>
            <w:r w:rsidR="00422A21">
              <w:rPr>
                <w:noProof/>
                <w:webHidden/>
              </w:rPr>
              <w:t>7</w:t>
            </w:r>
            <w:r w:rsidR="00422A21">
              <w:rPr>
                <w:noProof/>
                <w:webHidden/>
              </w:rPr>
              <w:fldChar w:fldCharType="end"/>
            </w:r>
          </w:hyperlink>
        </w:p>
        <w:p w14:paraId="671385CF" w14:textId="018ABC70" w:rsidR="00422A21" w:rsidRDefault="00895E1A">
          <w:pPr>
            <w:pStyle w:val="TM2"/>
            <w:tabs>
              <w:tab w:val="left" w:pos="880"/>
              <w:tab w:val="right" w:leader="dot" w:pos="9062"/>
            </w:tabs>
            <w:rPr>
              <w:rFonts w:eastAsiaTheme="minorEastAsia"/>
              <w:noProof/>
              <w:lang w:eastAsia="fr-FR"/>
            </w:rPr>
          </w:pPr>
          <w:hyperlink w:anchor="_Toc77328909" w:history="1">
            <w:r w:rsidR="00422A21" w:rsidRPr="00EF7ECE">
              <w:rPr>
                <w:rStyle w:val="Lienhypertexte"/>
                <w:noProof/>
              </w:rPr>
              <w:t>1.2</w:t>
            </w:r>
            <w:r w:rsidR="00422A21">
              <w:rPr>
                <w:rFonts w:eastAsiaTheme="minorEastAsia"/>
                <w:noProof/>
                <w:lang w:eastAsia="fr-FR"/>
              </w:rPr>
              <w:tab/>
            </w:r>
            <w:r w:rsidR="00422A21" w:rsidRPr="00EF7ECE">
              <w:rPr>
                <w:rStyle w:val="Lienhypertexte"/>
                <w:noProof/>
              </w:rPr>
              <w:t>Développer structurellement l’offre de formation pour répondre aux besoins de demain</w:t>
            </w:r>
            <w:r w:rsidR="00422A21">
              <w:rPr>
                <w:noProof/>
                <w:webHidden/>
              </w:rPr>
              <w:tab/>
            </w:r>
            <w:r w:rsidR="00422A21">
              <w:rPr>
                <w:noProof/>
                <w:webHidden/>
              </w:rPr>
              <w:fldChar w:fldCharType="begin"/>
            </w:r>
            <w:r w:rsidR="00422A21">
              <w:rPr>
                <w:noProof/>
                <w:webHidden/>
              </w:rPr>
              <w:instrText xml:space="preserve"> PAGEREF _Toc77328909 \h </w:instrText>
            </w:r>
            <w:r w:rsidR="00422A21">
              <w:rPr>
                <w:noProof/>
                <w:webHidden/>
              </w:rPr>
            </w:r>
            <w:r w:rsidR="00422A21">
              <w:rPr>
                <w:noProof/>
                <w:webHidden/>
              </w:rPr>
              <w:fldChar w:fldCharType="separate"/>
            </w:r>
            <w:r w:rsidR="00422A21">
              <w:rPr>
                <w:noProof/>
                <w:webHidden/>
              </w:rPr>
              <w:t>7</w:t>
            </w:r>
            <w:r w:rsidR="00422A21">
              <w:rPr>
                <w:noProof/>
                <w:webHidden/>
              </w:rPr>
              <w:fldChar w:fldCharType="end"/>
            </w:r>
          </w:hyperlink>
        </w:p>
        <w:p w14:paraId="730155B9" w14:textId="59C53907" w:rsidR="00422A21" w:rsidRDefault="00895E1A">
          <w:pPr>
            <w:pStyle w:val="TM3"/>
            <w:tabs>
              <w:tab w:val="left" w:pos="1320"/>
              <w:tab w:val="right" w:leader="dot" w:pos="9062"/>
            </w:tabs>
            <w:rPr>
              <w:rFonts w:eastAsiaTheme="minorEastAsia"/>
              <w:noProof/>
              <w:lang w:eastAsia="fr-FR"/>
            </w:rPr>
          </w:pPr>
          <w:hyperlink w:anchor="_Toc77328910" w:history="1">
            <w:r w:rsidR="00422A21" w:rsidRPr="00EF7ECE">
              <w:rPr>
                <w:rStyle w:val="Lienhypertexte"/>
                <w:noProof/>
              </w:rPr>
              <w:t>1.2.1</w:t>
            </w:r>
            <w:r w:rsidR="00422A21">
              <w:rPr>
                <w:rFonts w:eastAsiaTheme="minorEastAsia"/>
                <w:noProof/>
                <w:lang w:eastAsia="fr-FR"/>
              </w:rPr>
              <w:tab/>
            </w:r>
            <w:r w:rsidR="00422A21" w:rsidRPr="00EF7ECE">
              <w:rPr>
                <w:rStyle w:val="Lienhypertexte"/>
                <w:noProof/>
              </w:rPr>
              <w:t>16 000 places pour augmenter les volumes d’infirmiers, d’aides-soignants et d’accompagnants éducatifs et sociaux</w:t>
            </w:r>
            <w:r w:rsidR="00422A21">
              <w:rPr>
                <w:noProof/>
                <w:webHidden/>
              </w:rPr>
              <w:tab/>
            </w:r>
            <w:r w:rsidR="00422A21">
              <w:rPr>
                <w:noProof/>
                <w:webHidden/>
              </w:rPr>
              <w:fldChar w:fldCharType="begin"/>
            </w:r>
            <w:r w:rsidR="00422A21">
              <w:rPr>
                <w:noProof/>
                <w:webHidden/>
              </w:rPr>
              <w:instrText xml:space="preserve"> PAGEREF _Toc77328910 \h </w:instrText>
            </w:r>
            <w:r w:rsidR="00422A21">
              <w:rPr>
                <w:noProof/>
                <w:webHidden/>
              </w:rPr>
            </w:r>
            <w:r w:rsidR="00422A21">
              <w:rPr>
                <w:noProof/>
                <w:webHidden/>
              </w:rPr>
              <w:fldChar w:fldCharType="separate"/>
            </w:r>
            <w:r w:rsidR="00422A21">
              <w:rPr>
                <w:noProof/>
                <w:webHidden/>
              </w:rPr>
              <w:t>7</w:t>
            </w:r>
            <w:r w:rsidR="00422A21">
              <w:rPr>
                <w:noProof/>
                <w:webHidden/>
              </w:rPr>
              <w:fldChar w:fldCharType="end"/>
            </w:r>
          </w:hyperlink>
        </w:p>
        <w:p w14:paraId="1542A042" w14:textId="79EAF158" w:rsidR="00422A21" w:rsidRDefault="00895E1A">
          <w:pPr>
            <w:pStyle w:val="TM3"/>
            <w:tabs>
              <w:tab w:val="left" w:pos="1320"/>
              <w:tab w:val="right" w:leader="dot" w:pos="9062"/>
            </w:tabs>
            <w:rPr>
              <w:rFonts w:eastAsiaTheme="minorEastAsia"/>
              <w:noProof/>
              <w:lang w:eastAsia="fr-FR"/>
            </w:rPr>
          </w:pPr>
          <w:hyperlink w:anchor="_Toc77328911" w:history="1">
            <w:r w:rsidR="00422A21" w:rsidRPr="00EF7ECE">
              <w:rPr>
                <w:rStyle w:val="Lienhypertexte"/>
                <w:noProof/>
              </w:rPr>
              <w:t>1.2.2</w:t>
            </w:r>
            <w:r w:rsidR="00422A21">
              <w:rPr>
                <w:rFonts w:eastAsiaTheme="minorEastAsia"/>
                <w:noProof/>
                <w:lang w:eastAsia="fr-FR"/>
              </w:rPr>
              <w:tab/>
            </w:r>
            <w:r w:rsidR="00422A21" w:rsidRPr="00EF7ECE">
              <w:rPr>
                <w:rStyle w:val="Lienhypertexte"/>
                <w:noProof/>
              </w:rPr>
              <w:t>Réécriture des référentiels AS et AES adaptés à l’alternance et aux enseignements à distance</w:t>
            </w:r>
            <w:r w:rsidR="00422A21">
              <w:rPr>
                <w:noProof/>
                <w:webHidden/>
              </w:rPr>
              <w:tab/>
            </w:r>
            <w:r w:rsidR="00422A21">
              <w:rPr>
                <w:noProof/>
                <w:webHidden/>
              </w:rPr>
              <w:fldChar w:fldCharType="begin"/>
            </w:r>
            <w:r w:rsidR="00422A21">
              <w:rPr>
                <w:noProof/>
                <w:webHidden/>
              </w:rPr>
              <w:instrText xml:space="preserve"> PAGEREF _Toc77328911 \h </w:instrText>
            </w:r>
            <w:r w:rsidR="00422A21">
              <w:rPr>
                <w:noProof/>
                <w:webHidden/>
              </w:rPr>
            </w:r>
            <w:r w:rsidR="00422A21">
              <w:rPr>
                <w:noProof/>
                <w:webHidden/>
              </w:rPr>
              <w:fldChar w:fldCharType="separate"/>
            </w:r>
            <w:r w:rsidR="00422A21">
              <w:rPr>
                <w:noProof/>
                <w:webHidden/>
              </w:rPr>
              <w:t>7</w:t>
            </w:r>
            <w:r w:rsidR="00422A21">
              <w:rPr>
                <w:noProof/>
                <w:webHidden/>
              </w:rPr>
              <w:fldChar w:fldCharType="end"/>
            </w:r>
          </w:hyperlink>
        </w:p>
        <w:p w14:paraId="380AB5CE" w14:textId="3402D0DA" w:rsidR="00422A21" w:rsidRDefault="00895E1A">
          <w:pPr>
            <w:pStyle w:val="TM3"/>
            <w:tabs>
              <w:tab w:val="left" w:pos="1320"/>
              <w:tab w:val="right" w:leader="dot" w:pos="9062"/>
            </w:tabs>
            <w:rPr>
              <w:rFonts w:eastAsiaTheme="minorEastAsia"/>
              <w:noProof/>
              <w:lang w:eastAsia="fr-FR"/>
            </w:rPr>
          </w:pPr>
          <w:hyperlink w:anchor="_Toc77328912" w:history="1">
            <w:r w:rsidR="00422A21" w:rsidRPr="00EF7ECE">
              <w:rPr>
                <w:rStyle w:val="Lienhypertexte"/>
                <w:noProof/>
              </w:rPr>
              <w:t>1.2.3</w:t>
            </w:r>
            <w:r w:rsidR="00422A21">
              <w:rPr>
                <w:rFonts w:eastAsiaTheme="minorEastAsia"/>
                <w:noProof/>
                <w:lang w:eastAsia="fr-FR"/>
              </w:rPr>
              <w:tab/>
            </w:r>
            <w:r w:rsidR="00422A21" w:rsidRPr="00EF7ECE">
              <w:rPr>
                <w:rStyle w:val="Lienhypertexte"/>
                <w:noProof/>
              </w:rPr>
              <w:t>Création des conditions pour un développement structurel de l’apprentissage dans le médico-social et le sanitaire</w:t>
            </w:r>
            <w:r w:rsidR="00422A21">
              <w:rPr>
                <w:noProof/>
                <w:webHidden/>
              </w:rPr>
              <w:tab/>
            </w:r>
            <w:r w:rsidR="00422A21">
              <w:rPr>
                <w:noProof/>
                <w:webHidden/>
              </w:rPr>
              <w:fldChar w:fldCharType="begin"/>
            </w:r>
            <w:r w:rsidR="00422A21">
              <w:rPr>
                <w:noProof/>
                <w:webHidden/>
              </w:rPr>
              <w:instrText xml:space="preserve"> PAGEREF _Toc77328912 \h </w:instrText>
            </w:r>
            <w:r w:rsidR="00422A21">
              <w:rPr>
                <w:noProof/>
                <w:webHidden/>
              </w:rPr>
            </w:r>
            <w:r w:rsidR="00422A21">
              <w:rPr>
                <w:noProof/>
                <w:webHidden/>
              </w:rPr>
              <w:fldChar w:fldCharType="separate"/>
            </w:r>
            <w:r w:rsidR="00422A21">
              <w:rPr>
                <w:noProof/>
                <w:webHidden/>
              </w:rPr>
              <w:t>8</w:t>
            </w:r>
            <w:r w:rsidR="00422A21">
              <w:rPr>
                <w:noProof/>
                <w:webHidden/>
              </w:rPr>
              <w:fldChar w:fldCharType="end"/>
            </w:r>
          </w:hyperlink>
        </w:p>
        <w:p w14:paraId="0DED71A9" w14:textId="2A6A86E5" w:rsidR="00422A21" w:rsidRDefault="00895E1A">
          <w:pPr>
            <w:pStyle w:val="TM3"/>
            <w:tabs>
              <w:tab w:val="left" w:pos="1320"/>
              <w:tab w:val="right" w:leader="dot" w:pos="9062"/>
            </w:tabs>
            <w:rPr>
              <w:rFonts w:eastAsiaTheme="minorEastAsia"/>
              <w:noProof/>
              <w:lang w:eastAsia="fr-FR"/>
            </w:rPr>
          </w:pPr>
          <w:hyperlink w:anchor="_Toc77328913" w:history="1">
            <w:r w:rsidR="00422A21" w:rsidRPr="00EF7ECE">
              <w:rPr>
                <w:rStyle w:val="Lienhypertexte"/>
                <w:noProof/>
              </w:rPr>
              <w:t>1.2.4</w:t>
            </w:r>
            <w:r w:rsidR="00422A21">
              <w:rPr>
                <w:rFonts w:eastAsiaTheme="minorEastAsia"/>
                <w:noProof/>
                <w:lang w:eastAsia="fr-FR"/>
              </w:rPr>
              <w:tab/>
            </w:r>
            <w:r w:rsidR="00422A21" w:rsidRPr="00EF7ECE">
              <w:rPr>
                <w:rStyle w:val="Lienhypertexte"/>
                <w:noProof/>
              </w:rPr>
              <w:t>Développement de l’apprentissage dans la fonction publique hospitalière (FPH)</w:t>
            </w:r>
            <w:r w:rsidR="00422A21">
              <w:rPr>
                <w:noProof/>
                <w:webHidden/>
              </w:rPr>
              <w:tab/>
            </w:r>
            <w:r w:rsidR="00422A21">
              <w:rPr>
                <w:noProof/>
                <w:webHidden/>
              </w:rPr>
              <w:fldChar w:fldCharType="begin"/>
            </w:r>
            <w:r w:rsidR="00422A21">
              <w:rPr>
                <w:noProof/>
                <w:webHidden/>
              </w:rPr>
              <w:instrText xml:space="preserve"> PAGEREF _Toc77328913 \h </w:instrText>
            </w:r>
            <w:r w:rsidR="00422A21">
              <w:rPr>
                <w:noProof/>
                <w:webHidden/>
              </w:rPr>
            </w:r>
            <w:r w:rsidR="00422A21">
              <w:rPr>
                <w:noProof/>
                <w:webHidden/>
              </w:rPr>
              <w:fldChar w:fldCharType="separate"/>
            </w:r>
            <w:r w:rsidR="00422A21">
              <w:rPr>
                <w:noProof/>
                <w:webHidden/>
              </w:rPr>
              <w:t>9</w:t>
            </w:r>
            <w:r w:rsidR="00422A21">
              <w:rPr>
                <w:noProof/>
                <w:webHidden/>
              </w:rPr>
              <w:fldChar w:fldCharType="end"/>
            </w:r>
          </w:hyperlink>
        </w:p>
        <w:p w14:paraId="692E215B" w14:textId="60D48860" w:rsidR="00422A21" w:rsidRDefault="00895E1A">
          <w:pPr>
            <w:pStyle w:val="TM3"/>
            <w:tabs>
              <w:tab w:val="left" w:pos="1320"/>
              <w:tab w:val="right" w:leader="dot" w:pos="9062"/>
            </w:tabs>
            <w:rPr>
              <w:rFonts w:eastAsiaTheme="minorEastAsia"/>
              <w:noProof/>
              <w:lang w:eastAsia="fr-FR"/>
            </w:rPr>
          </w:pPr>
          <w:hyperlink w:anchor="_Toc77328914" w:history="1">
            <w:r w:rsidR="00422A21" w:rsidRPr="00EF7ECE">
              <w:rPr>
                <w:rStyle w:val="Lienhypertexte"/>
                <w:noProof/>
              </w:rPr>
              <w:t>1.2.5</w:t>
            </w:r>
            <w:r w:rsidR="00422A21">
              <w:rPr>
                <w:rFonts w:eastAsiaTheme="minorEastAsia"/>
                <w:noProof/>
                <w:lang w:eastAsia="fr-FR"/>
              </w:rPr>
              <w:tab/>
            </w:r>
            <w:r w:rsidR="00422A21" w:rsidRPr="00EF7ECE">
              <w:rPr>
                <w:rStyle w:val="Lienhypertexte"/>
                <w:noProof/>
              </w:rPr>
              <w:t>Le difficile déploiement de l’apprentissage dans le domicile</w:t>
            </w:r>
            <w:r w:rsidR="00422A21">
              <w:rPr>
                <w:noProof/>
                <w:webHidden/>
              </w:rPr>
              <w:tab/>
            </w:r>
            <w:r w:rsidR="00422A21">
              <w:rPr>
                <w:noProof/>
                <w:webHidden/>
              </w:rPr>
              <w:fldChar w:fldCharType="begin"/>
            </w:r>
            <w:r w:rsidR="00422A21">
              <w:rPr>
                <w:noProof/>
                <w:webHidden/>
              </w:rPr>
              <w:instrText xml:space="preserve"> PAGEREF _Toc77328914 \h </w:instrText>
            </w:r>
            <w:r w:rsidR="00422A21">
              <w:rPr>
                <w:noProof/>
                <w:webHidden/>
              </w:rPr>
            </w:r>
            <w:r w:rsidR="00422A21">
              <w:rPr>
                <w:noProof/>
                <w:webHidden/>
              </w:rPr>
              <w:fldChar w:fldCharType="separate"/>
            </w:r>
            <w:r w:rsidR="00422A21">
              <w:rPr>
                <w:noProof/>
                <w:webHidden/>
              </w:rPr>
              <w:t>11</w:t>
            </w:r>
            <w:r w:rsidR="00422A21">
              <w:rPr>
                <w:noProof/>
                <w:webHidden/>
              </w:rPr>
              <w:fldChar w:fldCharType="end"/>
            </w:r>
          </w:hyperlink>
        </w:p>
        <w:p w14:paraId="29C28C68" w14:textId="1DA56D57" w:rsidR="00422A21" w:rsidRDefault="00895E1A">
          <w:pPr>
            <w:pStyle w:val="TM3"/>
            <w:tabs>
              <w:tab w:val="left" w:pos="1320"/>
              <w:tab w:val="right" w:leader="dot" w:pos="9062"/>
            </w:tabs>
            <w:rPr>
              <w:rFonts w:eastAsiaTheme="minorEastAsia"/>
              <w:noProof/>
              <w:lang w:eastAsia="fr-FR"/>
            </w:rPr>
          </w:pPr>
          <w:hyperlink w:anchor="_Toc77328915" w:history="1">
            <w:r w:rsidR="00422A21" w:rsidRPr="00EF7ECE">
              <w:rPr>
                <w:rStyle w:val="Lienhypertexte"/>
                <w:noProof/>
              </w:rPr>
              <w:t>1.2.6</w:t>
            </w:r>
            <w:r w:rsidR="00422A21">
              <w:rPr>
                <w:rFonts w:eastAsiaTheme="minorEastAsia"/>
                <w:noProof/>
                <w:lang w:eastAsia="fr-FR"/>
              </w:rPr>
              <w:tab/>
            </w:r>
            <w:r w:rsidR="00422A21" w:rsidRPr="00EF7ECE">
              <w:rPr>
                <w:rStyle w:val="Lienhypertexte"/>
                <w:noProof/>
              </w:rPr>
              <w:t>Le développement de la VAE pour qualifier les nombreux « faisant fonction de »</w:t>
            </w:r>
            <w:r w:rsidR="00422A21">
              <w:rPr>
                <w:noProof/>
                <w:webHidden/>
              </w:rPr>
              <w:tab/>
            </w:r>
            <w:r w:rsidR="00422A21">
              <w:rPr>
                <w:noProof/>
                <w:webHidden/>
              </w:rPr>
              <w:fldChar w:fldCharType="begin"/>
            </w:r>
            <w:r w:rsidR="00422A21">
              <w:rPr>
                <w:noProof/>
                <w:webHidden/>
              </w:rPr>
              <w:instrText xml:space="preserve"> PAGEREF _Toc77328915 \h </w:instrText>
            </w:r>
            <w:r w:rsidR="00422A21">
              <w:rPr>
                <w:noProof/>
                <w:webHidden/>
              </w:rPr>
            </w:r>
            <w:r w:rsidR="00422A21">
              <w:rPr>
                <w:noProof/>
                <w:webHidden/>
              </w:rPr>
              <w:fldChar w:fldCharType="separate"/>
            </w:r>
            <w:r w:rsidR="00422A21">
              <w:rPr>
                <w:noProof/>
                <w:webHidden/>
              </w:rPr>
              <w:t>11</w:t>
            </w:r>
            <w:r w:rsidR="00422A21">
              <w:rPr>
                <w:noProof/>
                <w:webHidden/>
              </w:rPr>
              <w:fldChar w:fldCharType="end"/>
            </w:r>
          </w:hyperlink>
        </w:p>
        <w:p w14:paraId="27913E49" w14:textId="46E60457" w:rsidR="00422A21" w:rsidRDefault="00895E1A">
          <w:pPr>
            <w:pStyle w:val="TM2"/>
            <w:tabs>
              <w:tab w:val="left" w:pos="880"/>
              <w:tab w:val="right" w:leader="dot" w:pos="9062"/>
            </w:tabs>
            <w:rPr>
              <w:rFonts w:eastAsiaTheme="minorEastAsia"/>
              <w:noProof/>
              <w:lang w:eastAsia="fr-FR"/>
            </w:rPr>
          </w:pPr>
          <w:hyperlink w:anchor="_Toc77328916" w:history="1">
            <w:r w:rsidR="00422A21" w:rsidRPr="00EF7ECE">
              <w:rPr>
                <w:rStyle w:val="Lienhypertexte"/>
                <w:noProof/>
              </w:rPr>
              <w:t>1.3</w:t>
            </w:r>
            <w:r w:rsidR="00422A21">
              <w:rPr>
                <w:rFonts w:eastAsiaTheme="minorEastAsia"/>
                <w:noProof/>
                <w:lang w:eastAsia="fr-FR"/>
              </w:rPr>
              <w:tab/>
            </w:r>
            <w:r w:rsidR="00422A21" w:rsidRPr="00EF7ECE">
              <w:rPr>
                <w:rStyle w:val="Lienhypertexte"/>
                <w:noProof/>
              </w:rPr>
              <w:t>Anticiper la nécessité de tenir de plus fréquents jurys d’examen avec l’augmentation de l’offre de formation</w:t>
            </w:r>
            <w:r w:rsidR="00422A21">
              <w:rPr>
                <w:noProof/>
                <w:webHidden/>
              </w:rPr>
              <w:tab/>
            </w:r>
            <w:r w:rsidR="00422A21">
              <w:rPr>
                <w:noProof/>
                <w:webHidden/>
              </w:rPr>
              <w:fldChar w:fldCharType="begin"/>
            </w:r>
            <w:r w:rsidR="00422A21">
              <w:rPr>
                <w:noProof/>
                <w:webHidden/>
              </w:rPr>
              <w:instrText xml:space="preserve"> PAGEREF _Toc77328916 \h </w:instrText>
            </w:r>
            <w:r w:rsidR="00422A21">
              <w:rPr>
                <w:noProof/>
                <w:webHidden/>
              </w:rPr>
            </w:r>
            <w:r w:rsidR="00422A21">
              <w:rPr>
                <w:noProof/>
                <w:webHidden/>
              </w:rPr>
              <w:fldChar w:fldCharType="separate"/>
            </w:r>
            <w:r w:rsidR="00422A21">
              <w:rPr>
                <w:noProof/>
                <w:webHidden/>
              </w:rPr>
              <w:t>11</w:t>
            </w:r>
            <w:r w:rsidR="00422A21">
              <w:rPr>
                <w:noProof/>
                <w:webHidden/>
              </w:rPr>
              <w:fldChar w:fldCharType="end"/>
            </w:r>
          </w:hyperlink>
        </w:p>
        <w:p w14:paraId="0A0F3B75" w14:textId="5AE83D50" w:rsidR="00422A21" w:rsidRDefault="00895E1A">
          <w:pPr>
            <w:pStyle w:val="TM2"/>
            <w:tabs>
              <w:tab w:val="left" w:pos="880"/>
              <w:tab w:val="right" w:leader="dot" w:pos="9062"/>
            </w:tabs>
            <w:rPr>
              <w:rFonts w:eastAsiaTheme="minorEastAsia"/>
              <w:noProof/>
              <w:lang w:eastAsia="fr-FR"/>
            </w:rPr>
          </w:pPr>
          <w:hyperlink w:anchor="_Toc77328917" w:history="1">
            <w:r w:rsidR="00422A21" w:rsidRPr="00EF7ECE">
              <w:rPr>
                <w:rStyle w:val="Lienhypertexte"/>
                <w:noProof/>
              </w:rPr>
              <w:t>1.4</w:t>
            </w:r>
            <w:r w:rsidR="00422A21">
              <w:rPr>
                <w:rFonts w:eastAsiaTheme="minorEastAsia"/>
                <w:noProof/>
                <w:lang w:eastAsia="fr-FR"/>
              </w:rPr>
              <w:tab/>
            </w:r>
            <w:r w:rsidR="00422A21" w:rsidRPr="00EF7ECE">
              <w:rPr>
                <w:rStyle w:val="Lienhypertexte"/>
                <w:noProof/>
              </w:rPr>
              <w:t>Accélérer la convergence des 82 titres et certifications du champ</w:t>
            </w:r>
            <w:r w:rsidR="00422A21">
              <w:rPr>
                <w:noProof/>
                <w:webHidden/>
              </w:rPr>
              <w:tab/>
            </w:r>
            <w:r w:rsidR="00422A21">
              <w:rPr>
                <w:noProof/>
                <w:webHidden/>
              </w:rPr>
              <w:fldChar w:fldCharType="begin"/>
            </w:r>
            <w:r w:rsidR="00422A21">
              <w:rPr>
                <w:noProof/>
                <w:webHidden/>
              </w:rPr>
              <w:instrText xml:space="preserve"> PAGEREF _Toc77328917 \h </w:instrText>
            </w:r>
            <w:r w:rsidR="00422A21">
              <w:rPr>
                <w:noProof/>
                <w:webHidden/>
              </w:rPr>
            </w:r>
            <w:r w:rsidR="00422A21">
              <w:rPr>
                <w:noProof/>
                <w:webHidden/>
              </w:rPr>
              <w:fldChar w:fldCharType="separate"/>
            </w:r>
            <w:r w:rsidR="00422A21">
              <w:rPr>
                <w:noProof/>
                <w:webHidden/>
              </w:rPr>
              <w:t>12</w:t>
            </w:r>
            <w:r w:rsidR="00422A21">
              <w:rPr>
                <w:noProof/>
                <w:webHidden/>
              </w:rPr>
              <w:fldChar w:fldCharType="end"/>
            </w:r>
          </w:hyperlink>
        </w:p>
        <w:p w14:paraId="0568AF2E" w14:textId="7D57492E" w:rsidR="00422A21" w:rsidRDefault="00895E1A">
          <w:pPr>
            <w:pStyle w:val="TM2"/>
            <w:tabs>
              <w:tab w:val="left" w:pos="880"/>
              <w:tab w:val="right" w:leader="dot" w:pos="9062"/>
            </w:tabs>
            <w:rPr>
              <w:rFonts w:eastAsiaTheme="minorEastAsia"/>
              <w:noProof/>
              <w:lang w:eastAsia="fr-FR"/>
            </w:rPr>
          </w:pPr>
          <w:hyperlink w:anchor="_Toc77328918" w:history="1">
            <w:r w:rsidR="00422A21" w:rsidRPr="00EF7ECE">
              <w:rPr>
                <w:rStyle w:val="Lienhypertexte"/>
                <w:noProof/>
              </w:rPr>
              <w:t>1.5</w:t>
            </w:r>
            <w:r w:rsidR="00422A21">
              <w:rPr>
                <w:rFonts w:eastAsiaTheme="minorEastAsia"/>
                <w:noProof/>
                <w:lang w:eastAsia="fr-FR"/>
              </w:rPr>
              <w:tab/>
            </w:r>
            <w:r w:rsidR="00422A21" w:rsidRPr="00EF7ECE">
              <w:rPr>
                <w:rStyle w:val="Lienhypertexte"/>
                <w:noProof/>
              </w:rPr>
              <w:t>Une étape critique dans le rapprochement des conventions collectives qui compensent la BASS</w:t>
            </w:r>
            <w:r w:rsidR="00422A21">
              <w:rPr>
                <w:noProof/>
                <w:webHidden/>
              </w:rPr>
              <w:tab/>
            </w:r>
            <w:r w:rsidR="00422A21">
              <w:rPr>
                <w:noProof/>
                <w:webHidden/>
              </w:rPr>
              <w:fldChar w:fldCharType="begin"/>
            </w:r>
            <w:r w:rsidR="00422A21">
              <w:rPr>
                <w:noProof/>
                <w:webHidden/>
              </w:rPr>
              <w:instrText xml:space="preserve"> PAGEREF _Toc77328918 \h </w:instrText>
            </w:r>
            <w:r w:rsidR="00422A21">
              <w:rPr>
                <w:noProof/>
                <w:webHidden/>
              </w:rPr>
            </w:r>
            <w:r w:rsidR="00422A21">
              <w:rPr>
                <w:noProof/>
                <w:webHidden/>
              </w:rPr>
              <w:fldChar w:fldCharType="separate"/>
            </w:r>
            <w:r w:rsidR="00422A21">
              <w:rPr>
                <w:noProof/>
                <w:webHidden/>
              </w:rPr>
              <w:t>12</w:t>
            </w:r>
            <w:r w:rsidR="00422A21">
              <w:rPr>
                <w:noProof/>
                <w:webHidden/>
              </w:rPr>
              <w:fldChar w:fldCharType="end"/>
            </w:r>
          </w:hyperlink>
        </w:p>
        <w:p w14:paraId="1C15299E" w14:textId="6F03150C" w:rsidR="00422A21" w:rsidRDefault="00895E1A">
          <w:pPr>
            <w:pStyle w:val="TM1"/>
            <w:tabs>
              <w:tab w:val="left" w:pos="440"/>
              <w:tab w:val="right" w:leader="dot" w:pos="9062"/>
            </w:tabs>
            <w:rPr>
              <w:rFonts w:eastAsiaTheme="minorEastAsia"/>
              <w:noProof/>
              <w:lang w:eastAsia="fr-FR"/>
            </w:rPr>
          </w:pPr>
          <w:hyperlink w:anchor="_Toc77328919" w:history="1">
            <w:r w:rsidR="00422A21" w:rsidRPr="00EF7ECE">
              <w:rPr>
                <w:rStyle w:val="Lienhypertexte"/>
                <w:noProof/>
              </w:rPr>
              <w:t>2</w:t>
            </w:r>
            <w:r w:rsidR="00422A21">
              <w:rPr>
                <w:rFonts w:eastAsiaTheme="minorEastAsia"/>
                <w:noProof/>
                <w:lang w:eastAsia="fr-FR"/>
              </w:rPr>
              <w:tab/>
            </w:r>
            <w:r w:rsidR="00422A21" w:rsidRPr="00EF7ECE">
              <w:rPr>
                <w:rStyle w:val="Lienhypertexte"/>
                <w:noProof/>
              </w:rPr>
              <w:t>Améliorer la qualité de vie au travail et lutter contre la sinistralité : double action pour attirer de nouveaux professionnels et limiter les départs</w:t>
            </w:r>
            <w:r w:rsidR="00422A21">
              <w:rPr>
                <w:noProof/>
                <w:webHidden/>
              </w:rPr>
              <w:tab/>
            </w:r>
            <w:r w:rsidR="00422A21">
              <w:rPr>
                <w:noProof/>
                <w:webHidden/>
              </w:rPr>
              <w:fldChar w:fldCharType="begin"/>
            </w:r>
            <w:r w:rsidR="00422A21">
              <w:rPr>
                <w:noProof/>
                <w:webHidden/>
              </w:rPr>
              <w:instrText xml:space="preserve"> PAGEREF _Toc77328919 \h </w:instrText>
            </w:r>
            <w:r w:rsidR="00422A21">
              <w:rPr>
                <w:noProof/>
                <w:webHidden/>
              </w:rPr>
            </w:r>
            <w:r w:rsidR="00422A21">
              <w:rPr>
                <w:noProof/>
                <w:webHidden/>
              </w:rPr>
              <w:fldChar w:fldCharType="separate"/>
            </w:r>
            <w:r w:rsidR="00422A21">
              <w:rPr>
                <w:noProof/>
                <w:webHidden/>
              </w:rPr>
              <w:t>13</w:t>
            </w:r>
            <w:r w:rsidR="00422A21">
              <w:rPr>
                <w:noProof/>
                <w:webHidden/>
              </w:rPr>
              <w:fldChar w:fldCharType="end"/>
            </w:r>
          </w:hyperlink>
        </w:p>
        <w:p w14:paraId="72EA44D3" w14:textId="2619337D" w:rsidR="00422A21" w:rsidRDefault="00895E1A">
          <w:pPr>
            <w:pStyle w:val="TM2"/>
            <w:tabs>
              <w:tab w:val="left" w:pos="880"/>
              <w:tab w:val="right" w:leader="dot" w:pos="9062"/>
            </w:tabs>
            <w:rPr>
              <w:rFonts w:eastAsiaTheme="minorEastAsia"/>
              <w:noProof/>
              <w:lang w:eastAsia="fr-FR"/>
            </w:rPr>
          </w:pPr>
          <w:hyperlink w:anchor="_Toc77328920" w:history="1">
            <w:r w:rsidR="00422A21" w:rsidRPr="00EF7ECE">
              <w:rPr>
                <w:rStyle w:val="Lienhypertexte"/>
                <w:noProof/>
              </w:rPr>
              <w:t>2.1</w:t>
            </w:r>
            <w:r w:rsidR="00422A21">
              <w:rPr>
                <w:rFonts w:eastAsiaTheme="minorEastAsia"/>
                <w:noProof/>
                <w:lang w:eastAsia="fr-FR"/>
              </w:rPr>
              <w:tab/>
            </w:r>
            <w:r w:rsidR="00422A21" w:rsidRPr="00EF7ECE">
              <w:rPr>
                <w:rStyle w:val="Lienhypertexte"/>
                <w:noProof/>
              </w:rPr>
              <w:t>Les actions déjà engagées et leurs limites</w:t>
            </w:r>
            <w:r w:rsidR="00422A21">
              <w:rPr>
                <w:noProof/>
                <w:webHidden/>
              </w:rPr>
              <w:tab/>
            </w:r>
            <w:r w:rsidR="00422A21">
              <w:rPr>
                <w:noProof/>
                <w:webHidden/>
              </w:rPr>
              <w:fldChar w:fldCharType="begin"/>
            </w:r>
            <w:r w:rsidR="00422A21">
              <w:rPr>
                <w:noProof/>
                <w:webHidden/>
              </w:rPr>
              <w:instrText xml:space="preserve"> PAGEREF _Toc77328920 \h </w:instrText>
            </w:r>
            <w:r w:rsidR="00422A21">
              <w:rPr>
                <w:noProof/>
                <w:webHidden/>
              </w:rPr>
            </w:r>
            <w:r w:rsidR="00422A21">
              <w:rPr>
                <w:noProof/>
                <w:webHidden/>
              </w:rPr>
              <w:fldChar w:fldCharType="separate"/>
            </w:r>
            <w:r w:rsidR="00422A21">
              <w:rPr>
                <w:noProof/>
                <w:webHidden/>
              </w:rPr>
              <w:t>13</w:t>
            </w:r>
            <w:r w:rsidR="00422A21">
              <w:rPr>
                <w:noProof/>
                <w:webHidden/>
              </w:rPr>
              <w:fldChar w:fldCharType="end"/>
            </w:r>
          </w:hyperlink>
        </w:p>
        <w:p w14:paraId="205F35DC" w14:textId="7DEB63FE" w:rsidR="00422A21" w:rsidRDefault="00895E1A">
          <w:pPr>
            <w:pStyle w:val="TM2"/>
            <w:tabs>
              <w:tab w:val="left" w:pos="880"/>
              <w:tab w:val="right" w:leader="dot" w:pos="9062"/>
            </w:tabs>
            <w:rPr>
              <w:rFonts w:eastAsiaTheme="minorEastAsia"/>
              <w:noProof/>
              <w:lang w:eastAsia="fr-FR"/>
            </w:rPr>
          </w:pPr>
          <w:hyperlink w:anchor="_Toc77328921" w:history="1">
            <w:r w:rsidR="00422A21" w:rsidRPr="00EF7ECE">
              <w:rPr>
                <w:rStyle w:val="Lienhypertexte"/>
                <w:noProof/>
              </w:rPr>
              <w:t>2.2</w:t>
            </w:r>
            <w:r w:rsidR="00422A21">
              <w:rPr>
                <w:rFonts w:eastAsiaTheme="minorEastAsia"/>
                <w:noProof/>
                <w:lang w:eastAsia="fr-FR"/>
              </w:rPr>
              <w:tab/>
            </w:r>
            <w:r w:rsidR="00422A21" w:rsidRPr="00EF7ECE">
              <w:rPr>
                <w:rStyle w:val="Lienhypertexte"/>
                <w:noProof/>
              </w:rPr>
              <w:t>Quatre axes d’action structurants pour ancrer la QVT/sinistralité dans les pratiques managériales des structures</w:t>
            </w:r>
            <w:r w:rsidR="00422A21">
              <w:rPr>
                <w:noProof/>
                <w:webHidden/>
              </w:rPr>
              <w:tab/>
            </w:r>
            <w:r w:rsidR="00422A21">
              <w:rPr>
                <w:noProof/>
                <w:webHidden/>
              </w:rPr>
              <w:fldChar w:fldCharType="begin"/>
            </w:r>
            <w:r w:rsidR="00422A21">
              <w:rPr>
                <w:noProof/>
                <w:webHidden/>
              </w:rPr>
              <w:instrText xml:space="preserve"> PAGEREF _Toc77328921 \h </w:instrText>
            </w:r>
            <w:r w:rsidR="00422A21">
              <w:rPr>
                <w:noProof/>
                <w:webHidden/>
              </w:rPr>
            </w:r>
            <w:r w:rsidR="00422A21">
              <w:rPr>
                <w:noProof/>
                <w:webHidden/>
              </w:rPr>
              <w:fldChar w:fldCharType="separate"/>
            </w:r>
            <w:r w:rsidR="00422A21">
              <w:rPr>
                <w:noProof/>
                <w:webHidden/>
              </w:rPr>
              <w:t>13</w:t>
            </w:r>
            <w:r w:rsidR="00422A21">
              <w:rPr>
                <w:noProof/>
                <w:webHidden/>
              </w:rPr>
              <w:fldChar w:fldCharType="end"/>
            </w:r>
          </w:hyperlink>
        </w:p>
        <w:p w14:paraId="7FA1FF47" w14:textId="02615C88" w:rsidR="00422A21" w:rsidRDefault="00895E1A">
          <w:pPr>
            <w:pStyle w:val="TM3"/>
            <w:tabs>
              <w:tab w:val="left" w:pos="1320"/>
              <w:tab w:val="right" w:leader="dot" w:pos="9062"/>
            </w:tabs>
            <w:rPr>
              <w:rFonts w:eastAsiaTheme="minorEastAsia"/>
              <w:noProof/>
              <w:lang w:eastAsia="fr-FR"/>
            </w:rPr>
          </w:pPr>
          <w:hyperlink w:anchor="_Toc77328922" w:history="1">
            <w:r w:rsidR="00422A21" w:rsidRPr="00EF7ECE">
              <w:rPr>
                <w:rStyle w:val="Lienhypertexte"/>
                <w:noProof/>
              </w:rPr>
              <w:t>2.2.1</w:t>
            </w:r>
            <w:r w:rsidR="00422A21">
              <w:rPr>
                <w:rFonts w:eastAsiaTheme="minorEastAsia"/>
                <w:noProof/>
                <w:lang w:eastAsia="fr-FR"/>
              </w:rPr>
              <w:tab/>
            </w:r>
            <w:r w:rsidR="00422A21" w:rsidRPr="00EF7ECE">
              <w:rPr>
                <w:rStyle w:val="Lienhypertexte"/>
                <w:noProof/>
              </w:rPr>
              <w:t>Donner une priorité forte au développement des compétences managériales des dirigeants et des cadres du secteur</w:t>
            </w:r>
            <w:r w:rsidR="00422A21">
              <w:rPr>
                <w:noProof/>
                <w:webHidden/>
              </w:rPr>
              <w:tab/>
            </w:r>
            <w:r w:rsidR="00422A21">
              <w:rPr>
                <w:noProof/>
                <w:webHidden/>
              </w:rPr>
              <w:fldChar w:fldCharType="begin"/>
            </w:r>
            <w:r w:rsidR="00422A21">
              <w:rPr>
                <w:noProof/>
                <w:webHidden/>
              </w:rPr>
              <w:instrText xml:space="preserve"> PAGEREF _Toc77328922 \h </w:instrText>
            </w:r>
            <w:r w:rsidR="00422A21">
              <w:rPr>
                <w:noProof/>
                <w:webHidden/>
              </w:rPr>
            </w:r>
            <w:r w:rsidR="00422A21">
              <w:rPr>
                <w:noProof/>
                <w:webHidden/>
              </w:rPr>
              <w:fldChar w:fldCharType="separate"/>
            </w:r>
            <w:r w:rsidR="00422A21">
              <w:rPr>
                <w:noProof/>
                <w:webHidden/>
              </w:rPr>
              <w:t>14</w:t>
            </w:r>
            <w:r w:rsidR="00422A21">
              <w:rPr>
                <w:noProof/>
                <w:webHidden/>
              </w:rPr>
              <w:fldChar w:fldCharType="end"/>
            </w:r>
          </w:hyperlink>
        </w:p>
        <w:p w14:paraId="04CB3624" w14:textId="1D34417B" w:rsidR="00422A21" w:rsidRDefault="00895E1A">
          <w:pPr>
            <w:pStyle w:val="TM3"/>
            <w:tabs>
              <w:tab w:val="left" w:pos="1320"/>
              <w:tab w:val="right" w:leader="dot" w:pos="9062"/>
            </w:tabs>
            <w:rPr>
              <w:rFonts w:eastAsiaTheme="minorEastAsia"/>
              <w:noProof/>
              <w:lang w:eastAsia="fr-FR"/>
            </w:rPr>
          </w:pPr>
          <w:hyperlink w:anchor="_Toc77328923" w:history="1">
            <w:r w:rsidR="00422A21" w:rsidRPr="00EF7ECE">
              <w:rPr>
                <w:rStyle w:val="Lienhypertexte"/>
                <w:noProof/>
              </w:rPr>
              <w:t>2.2.2</w:t>
            </w:r>
            <w:r w:rsidR="00422A21">
              <w:rPr>
                <w:rFonts w:eastAsiaTheme="minorEastAsia"/>
                <w:noProof/>
                <w:lang w:eastAsia="fr-FR"/>
              </w:rPr>
              <w:tab/>
            </w:r>
            <w:r w:rsidR="00422A21" w:rsidRPr="00EF7ECE">
              <w:rPr>
                <w:rStyle w:val="Lienhypertexte"/>
                <w:noProof/>
              </w:rPr>
              <w:t>Généraliser les outils de diagnostic et de suivi de la QVT/sinistralité</w:t>
            </w:r>
            <w:r w:rsidR="00422A21">
              <w:rPr>
                <w:noProof/>
                <w:webHidden/>
              </w:rPr>
              <w:tab/>
            </w:r>
            <w:r w:rsidR="00422A21">
              <w:rPr>
                <w:noProof/>
                <w:webHidden/>
              </w:rPr>
              <w:fldChar w:fldCharType="begin"/>
            </w:r>
            <w:r w:rsidR="00422A21">
              <w:rPr>
                <w:noProof/>
                <w:webHidden/>
              </w:rPr>
              <w:instrText xml:space="preserve"> PAGEREF _Toc77328923 \h </w:instrText>
            </w:r>
            <w:r w:rsidR="00422A21">
              <w:rPr>
                <w:noProof/>
                <w:webHidden/>
              </w:rPr>
            </w:r>
            <w:r w:rsidR="00422A21">
              <w:rPr>
                <w:noProof/>
                <w:webHidden/>
              </w:rPr>
              <w:fldChar w:fldCharType="separate"/>
            </w:r>
            <w:r w:rsidR="00422A21">
              <w:rPr>
                <w:noProof/>
                <w:webHidden/>
              </w:rPr>
              <w:t>16</w:t>
            </w:r>
            <w:r w:rsidR="00422A21">
              <w:rPr>
                <w:noProof/>
                <w:webHidden/>
              </w:rPr>
              <w:fldChar w:fldCharType="end"/>
            </w:r>
          </w:hyperlink>
        </w:p>
        <w:p w14:paraId="02E8B390" w14:textId="174464F9" w:rsidR="00422A21" w:rsidRDefault="00895E1A">
          <w:pPr>
            <w:pStyle w:val="TM3"/>
            <w:tabs>
              <w:tab w:val="left" w:pos="1320"/>
              <w:tab w:val="right" w:leader="dot" w:pos="9062"/>
            </w:tabs>
            <w:rPr>
              <w:rFonts w:eastAsiaTheme="minorEastAsia"/>
              <w:noProof/>
              <w:lang w:eastAsia="fr-FR"/>
            </w:rPr>
          </w:pPr>
          <w:hyperlink w:anchor="_Toc77328924" w:history="1">
            <w:r w:rsidR="00422A21" w:rsidRPr="00EF7ECE">
              <w:rPr>
                <w:rStyle w:val="Lienhypertexte"/>
                <w:noProof/>
              </w:rPr>
              <w:t>2.2.3</w:t>
            </w:r>
            <w:r w:rsidR="00422A21">
              <w:rPr>
                <w:rFonts w:eastAsiaTheme="minorEastAsia"/>
                <w:noProof/>
                <w:lang w:eastAsia="fr-FR"/>
              </w:rPr>
              <w:tab/>
            </w:r>
            <w:r w:rsidR="00422A21" w:rsidRPr="00EF7ECE">
              <w:rPr>
                <w:rStyle w:val="Lienhypertexte"/>
                <w:noProof/>
              </w:rPr>
              <w:t>Renforcer le pilotage de la QVT/sinistralité pour une meilleure efficacité des aides proposées et sécuriser son intégration avec le PST</w:t>
            </w:r>
            <w:r w:rsidR="00422A21">
              <w:rPr>
                <w:noProof/>
                <w:webHidden/>
              </w:rPr>
              <w:tab/>
            </w:r>
            <w:r w:rsidR="00422A21">
              <w:rPr>
                <w:noProof/>
                <w:webHidden/>
              </w:rPr>
              <w:fldChar w:fldCharType="begin"/>
            </w:r>
            <w:r w:rsidR="00422A21">
              <w:rPr>
                <w:noProof/>
                <w:webHidden/>
              </w:rPr>
              <w:instrText xml:space="preserve"> PAGEREF _Toc77328924 \h </w:instrText>
            </w:r>
            <w:r w:rsidR="00422A21">
              <w:rPr>
                <w:noProof/>
                <w:webHidden/>
              </w:rPr>
            </w:r>
            <w:r w:rsidR="00422A21">
              <w:rPr>
                <w:noProof/>
                <w:webHidden/>
              </w:rPr>
              <w:fldChar w:fldCharType="separate"/>
            </w:r>
            <w:r w:rsidR="00422A21">
              <w:rPr>
                <w:noProof/>
                <w:webHidden/>
              </w:rPr>
              <w:t>17</w:t>
            </w:r>
            <w:r w:rsidR="00422A21">
              <w:rPr>
                <w:noProof/>
                <w:webHidden/>
              </w:rPr>
              <w:fldChar w:fldCharType="end"/>
            </w:r>
          </w:hyperlink>
        </w:p>
        <w:p w14:paraId="343D3C6F" w14:textId="427ABD31" w:rsidR="00422A21" w:rsidRDefault="00895E1A">
          <w:pPr>
            <w:pStyle w:val="TM3"/>
            <w:tabs>
              <w:tab w:val="left" w:pos="1320"/>
              <w:tab w:val="right" w:leader="dot" w:pos="9062"/>
            </w:tabs>
            <w:rPr>
              <w:rFonts w:eastAsiaTheme="minorEastAsia"/>
              <w:noProof/>
              <w:lang w:eastAsia="fr-FR"/>
            </w:rPr>
          </w:pPr>
          <w:hyperlink w:anchor="_Toc77328925" w:history="1">
            <w:r w:rsidR="00422A21" w:rsidRPr="00EF7ECE">
              <w:rPr>
                <w:rStyle w:val="Lienhypertexte"/>
                <w:noProof/>
              </w:rPr>
              <w:t>2.2.4</w:t>
            </w:r>
            <w:r w:rsidR="00422A21">
              <w:rPr>
                <w:rFonts w:eastAsiaTheme="minorEastAsia"/>
                <w:noProof/>
                <w:lang w:eastAsia="fr-FR"/>
              </w:rPr>
              <w:tab/>
            </w:r>
            <w:r w:rsidR="00422A21" w:rsidRPr="00EF7ECE">
              <w:rPr>
                <w:rStyle w:val="Lienhypertexte"/>
                <w:noProof/>
              </w:rPr>
              <w:t>Déployer les outils numériques favorisant l’autonomie des équipes et la QVT dans les services à domicile</w:t>
            </w:r>
            <w:r w:rsidR="00422A21">
              <w:rPr>
                <w:noProof/>
                <w:webHidden/>
              </w:rPr>
              <w:tab/>
            </w:r>
            <w:r w:rsidR="00422A21">
              <w:rPr>
                <w:noProof/>
                <w:webHidden/>
              </w:rPr>
              <w:fldChar w:fldCharType="begin"/>
            </w:r>
            <w:r w:rsidR="00422A21">
              <w:rPr>
                <w:noProof/>
                <w:webHidden/>
              </w:rPr>
              <w:instrText xml:space="preserve"> PAGEREF _Toc77328925 \h </w:instrText>
            </w:r>
            <w:r w:rsidR="00422A21">
              <w:rPr>
                <w:noProof/>
                <w:webHidden/>
              </w:rPr>
            </w:r>
            <w:r w:rsidR="00422A21">
              <w:rPr>
                <w:noProof/>
                <w:webHidden/>
              </w:rPr>
              <w:fldChar w:fldCharType="separate"/>
            </w:r>
            <w:r w:rsidR="00422A21">
              <w:rPr>
                <w:noProof/>
                <w:webHidden/>
              </w:rPr>
              <w:t>19</w:t>
            </w:r>
            <w:r w:rsidR="00422A21">
              <w:rPr>
                <w:noProof/>
                <w:webHidden/>
              </w:rPr>
              <w:fldChar w:fldCharType="end"/>
            </w:r>
          </w:hyperlink>
        </w:p>
        <w:p w14:paraId="2C442CBE" w14:textId="5A56B2A7" w:rsidR="00422A21" w:rsidRDefault="00895E1A">
          <w:pPr>
            <w:pStyle w:val="TM1"/>
            <w:tabs>
              <w:tab w:val="left" w:pos="440"/>
              <w:tab w:val="right" w:leader="dot" w:pos="9062"/>
            </w:tabs>
            <w:rPr>
              <w:rFonts w:eastAsiaTheme="minorEastAsia"/>
              <w:noProof/>
              <w:lang w:eastAsia="fr-FR"/>
            </w:rPr>
          </w:pPr>
          <w:hyperlink w:anchor="_Toc77328926" w:history="1">
            <w:r w:rsidR="00422A21" w:rsidRPr="00EF7ECE">
              <w:rPr>
                <w:rStyle w:val="Lienhypertexte"/>
                <w:noProof/>
              </w:rPr>
              <w:t>3</w:t>
            </w:r>
            <w:r w:rsidR="00422A21">
              <w:rPr>
                <w:rFonts w:eastAsiaTheme="minorEastAsia"/>
                <w:noProof/>
                <w:lang w:eastAsia="fr-FR"/>
              </w:rPr>
              <w:tab/>
            </w:r>
            <w:r w:rsidR="00422A21" w:rsidRPr="00EF7ECE">
              <w:rPr>
                <w:rStyle w:val="Lienhypertexte"/>
                <w:noProof/>
              </w:rPr>
              <w:t>Mobilité</w:t>
            </w:r>
            <w:r w:rsidR="00422A21">
              <w:rPr>
                <w:noProof/>
                <w:webHidden/>
              </w:rPr>
              <w:tab/>
            </w:r>
            <w:r w:rsidR="00422A21">
              <w:rPr>
                <w:noProof/>
                <w:webHidden/>
              </w:rPr>
              <w:fldChar w:fldCharType="begin"/>
            </w:r>
            <w:r w:rsidR="00422A21">
              <w:rPr>
                <w:noProof/>
                <w:webHidden/>
              </w:rPr>
              <w:instrText xml:space="preserve"> PAGEREF _Toc77328926 \h </w:instrText>
            </w:r>
            <w:r w:rsidR="00422A21">
              <w:rPr>
                <w:noProof/>
                <w:webHidden/>
              </w:rPr>
            </w:r>
            <w:r w:rsidR="00422A21">
              <w:rPr>
                <w:noProof/>
                <w:webHidden/>
              </w:rPr>
              <w:fldChar w:fldCharType="separate"/>
            </w:r>
            <w:r w:rsidR="00422A21">
              <w:rPr>
                <w:noProof/>
                <w:webHidden/>
              </w:rPr>
              <w:t>19</w:t>
            </w:r>
            <w:r w:rsidR="00422A21">
              <w:rPr>
                <w:noProof/>
                <w:webHidden/>
              </w:rPr>
              <w:fldChar w:fldCharType="end"/>
            </w:r>
          </w:hyperlink>
        </w:p>
        <w:p w14:paraId="4E754B44" w14:textId="41C05C52" w:rsidR="00422A21" w:rsidRDefault="00895E1A">
          <w:pPr>
            <w:pStyle w:val="TM1"/>
            <w:tabs>
              <w:tab w:val="left" w:pos="440"/>
              <w:tab w:val="right" w:leader="dot" w:pos="9062"/>
            </w:tabs>
            <w:rPr>
              <w:rFonts w:eastAsiaTheme="minorEastAsia"/>
              <w:noProof/>
              <w:lang w:eastAsia="fr-FR"/>
            </w:rPr>
          </w:pPr>
          <w:hyperlink w:anchor="_Toc77328927" w:history="1">
            <w:r w:rsidR="00422A21" w:rsidRPr="00EF7ECE">
              <w:rPr>
                <w:rStyle w:val="Lienhypertexte"/>
                <w:noProof/>
              </w:rPr>
              <w:t>4</w:t>
            </w:r>
            <w:r w:rsidR="00422A21">
              <w:rPr>
                <w:rFonts w:eastAsiaTheme="minorEastAsia"/>
                <w:noProof/>
                <w:lang w:eastAsia="fr-FR"/>
              </w:rPr>
              <w:tab/>
            </w:r>
            <w:r w:rsidR="00422A21" w:rsidRPr="00EF7ECE">
              <w:rPr>
                <w:rStyle w:val="Lienhypertexte"/>
                <w:noProof/>
              </w:rPr>
              <w:t>Mesures fiscales</w:t>
            </w:r>
            <w:r w:rsidR="00422A21">
              <w:rPr>
                <w:noProof/>
                <w:webHidden/>
              </w:rPr>
              <w:tab/>
            </w:r>
            <w:r w:rsidR="00422A21">
              <w:rPr>
                <w:noProof/>
                <w:webHidden/>
              </w:rPr>
              <w:fldChar w:fldCharType="begin"/>
            </w:r>
            <w:r w:rsidR="00422A21">
              <w:rPr>
                <w:noProof/>
                <w:webHidden/>
              </w:rPr>
              <w:instrText xml:space="preserve"> PAGEREF _Toc77328927 \h </w:instrText>
            </w:r>
            <w:r w:rsidR="00422A21">
              <w:rPr>
                <w:noProof/>
                <w:webHidden/>
              </w:rPr>
            </w:r>
            <w:r w:rsidR="00422A21">
              <w:rPr>
                <w:noProof/>
                <w:webHidden/>
              </w:rPr>
              <w:fldChar w:fldCharType="separate"/>
            </w:r>
            <w:r w:rsidR="00422A21">
              <w:rPr>
                <w:noProof/>
                <w:webHidden/>
              </w:rPr>
              <w:t>20</w:t>
            </w:r>
            <w:r w:rsidR="00422A21">
              <w:rPr>
                <w:noProof/>
                <w:webHidden/>
              </w:rPr>
              <w:fldChar w:fldCharType="end"/>
            </w:r>
          </w:hyperlink>
        </w:p>
        <w:p w14:paraId="04D54C2B" w14:textId="58D8A1BB" w:rsidR="00422A21" w:rsidRDefault="00895E1A">
          <w:pPr>
            <w:pStyle w:val="TM2"/>
            <w:tabs>
              <w:tab w:val="left" w:pos="880"/>
              <w:tab w:val="right" w:leader="dot" w:pos="9062"/>
            </w:tabs>
            <w:rPr>
              <w:rFonts w:eastAsiaTheme="minorEastAsia"/>
              <w:noProof/>
              <w:lang w:eastAsia="fr-FR"/>
            </w:rPr>
          </w:pPr>
          <w:hyperlink w:anchor="_Toc77328928" w:history="1">
            <w:r w:rsidR="00422A21" w:rsidRPr="00EF7ECE">
              <w:rPr>
                <w:rStyle w:val="Lienhypertexte"/>
                <w:noProof/>
              </w:rPr>
              <w:t>4.1</w:t>
            </w:r>
            <w:r w:rsidR="00422A21">
              <w:rPr>
                <w:rFonts w:eastAsiaTheme="minorEastAsia"/>
                <w:noProof/>
                <w:lang w:eastAsia="fr-FR"/>
              </w:rPr>
              <w:tab/>
            </w:r>
            <w:r w:rsidR="00422A21" w:rsidRPr="00EF7ECE">
              <w:rPr>
                <w:rStyle w:val="Lienhypertexte"/>
                <w:noProof/>
              </w:rPr>
              <w:t>Rescrit modifiant les règles de TVA applicables aux prestations de services rendues à leurs membres par des groupements d’employeurs</w:t>
            </w:r>
            <w:r w:rsidR="00422A21">
              <w:rPr>
                <w:noProof/>
                <w:webHidden/>
              </w:rPr>
              <w:tab/>
            </w:r>
            <w:r w:rsidR="00422A21">
              <w:rPr>
                <w:noProof/>
                <w:webHidden/>
              </w:rPr>
              <w:fldChar w:fldCharType="begin"/>
            </w:r>
            <w:r w:rsidR="00422A21">
              <w:rPr>
                <w:noProof/>
                <w:webHidden/>
              </w:rPr>
              <w:instrText xml:space="preserve"> PAGEREF _Toc77328928 \h </w:instrText>
            </w:r>
            <w:r w:rsidR="00422A21">
              <w:rPr>
                <w:noProof/>
                <w:webHidden/>
              </w:rPr>
            </w:r>
            <w:r w:rsidR="00422A21">
              <w:rPr>
                <w:noProof/>
                <w:webHidden/>
              </w:rPr>
              <w:fldChar w:fldCharType="separate"/>
            </w:r>
            <w:r w:rsidR="00422A21">
              <w:rPr>
                <w:noProof/>
                <w:webHidden/>
              </w:rPr>
              <w:t>20</w:t>
            </w:r>
            <w:r w:rsidR="00422A21">
              <w:rPr>
                <w:noProof/>
                <w:webHidden/>
              </w:rPr>
              <w:fldChar w:fldCharType="end"/>
            </w:r>
          </w:hyperlink>
        </w:p>
        <w:p w14:paraId="05D7C6A5" w14:textId="120823C8" w:rsidR="00422A21" w:rsidRDefault="00895E1A">
          <w:pPr>
            <w:pStyle w:val="TM2"/>
            <w:tabs>
              <w:tab w:val="left" w:pos="880"/>
              <w:tab w:val="right" w:leader="dot" w:pos="9062"/>
            </w:tabs>
            <w:rPr>
              <w:rFonts w:eastAsiaTheme="minorEastAsia"/>
              <w:noProof/>
              <w:lang w:eastAsia="fr-FR"/>
            </w:rPr>
          </w:pPr>
          <w:hyperlink w:anchor="_Toc77328929" w:history="1">
            <w:r w:rsidR="00422A21" w:rsidRPr="00EF7ECE">
              <w:rPr>
                <w:rStyle w:val="Lienhypertexte"/>
                <w:noProof/>
              </w:rPr>
              <w:t>4.2</w:t>
            </w:r>
            <w:r w:rsidR="00422A21">
              <w:rPr>
                <w:rFonts w:eastAsiaTheme="minorEastAsia"/>
                <w:noProof/>
                <w:lang w:eastAsia="fr-FR"/>
              </w:rPr>
              <w:tab/>
            </w:r>
            <w:r w:rsidR="00422A21" w:rsidRPr="00EF7ECE">
              <w:rPr>
                <w:rStyle w:val="Lienhypertexte"/>
                <w:noProof/>
              </w:rPr>
              <w:t>Vers une modification du barème de la taxe sur les salaires</w:t>
            </w:r>
            <w:r w:rsidR="00422A21">
              <w:rPr>
                <w:noProof/>
                <w:webHidden/>
              </w:rPr>
              <w:tab/>
            </w:r>
            <w:r w:rsidR="00422A21">
              <w:rPr>
                <w:noProof/>
                <w:webHidden/>
              </w:rPr>
              <w:fldChar w:fldCharType="begin"/>
            </w:r>
            <w:r w:rsidR="00422A21">
              <w:rPr>
                <w:noProof/>
                <w:webHidden/>
              </w:rPr>
              <w:instrText xml:space="preserve"> PAGEREF _Toc77328929 \h </w:instrText>
            </w:r>
            <w:r w:rsidR="00422A21">
              <w:rPr>
                <w:noProof/>
                <w:webHidden/>
              </w:rPr>
            </w:r>
            <w:r w:rsidR="00422A21">
              <w:rPr>
                <w:noProof/>
                <w:webHidden/>
              </w:rPr>
              <w:fldChar w:fldCharType="separate"/>
            </w:r>
            <w:r w:rsidR="00422A21">
              <w:rPr>
                <w:noProof/>
                <w:webHidden/>
              </w:rPr>
              <w:t>20</w:t>
            </w:r>
            <w:r w:rsidR="00422A21">
              <w:rPr>
                <w:noProof/>
                <w:webHidden/>
              </w:rPr>
              <w:fldChar w:fldCharType="end"/>
            </w:r>
          </w:hyperlink>
        </w:p>
        <w:p w14:paraId="41EC642F" w14:textId="51CEAF20" w:rsidR="00422A21" w:rsidRDefault="00895E1A">
          <w:pPr>
            <w:pStyle w:val="TM2"/>
            <w:tabs>
              <w:tab w:val="left" w:pos="880"/>
              <w:tab w:val="right" w:leader="dot" w:pos="9062"/>
            </w:tabs>
            <w:rPr>
              <w:rFonts w:eastAsiaTheme="minorEastAsia"/>
              <w:noProof/>
              <w:lang w:eastAsia="fr-FR"/>
            </w:rPr>
          </w:pPr>
          <w:hyperlink w:anchor="_Toc77328930" w:history="1">
            <w:r w:rsidR="00422A21" w:rsidRPr="00EF7ECE">
              <w:rPr>
                <w:rStyle w:val="Lienhypertexte"/>
                <w:noProof/>
              </w:rPr>
              <w:t>4.3</w:t>
            </w:r>
            <w:r w:rsidR="00422A21">
              <w:rPr>
                <w:rFonts w:eastAsiaTheme="minorEastAsia"/>
                <w:noProof/>
                <w:lang w:eastAsia="fr-FR"/>
              </w:rPr>
              <w:tab/>
            </w:r>
            <w:r w:rsidR="00422A21" w:rsidRPr="00EF7ECE">
              <w:rPr>
                <w:rStyle w:val="Lienhypertexte"/>
                <w:noProof/>
              </w:rPr>
              <w:t>Taxe d’apprentissage due par certains établissements publics de santé</w:t>
            </w:r>
            <w:r w:rsidR="00422A21">
              <w:rPr>
                <w:noProof/>
                <w:webHidden/>
              </w:rPr>
              <w:tab/>
            </w:r>
            <w:r w:rsidR="00422A21">
              <w:rPr>
                <w:noProof/>
                <w:webHidden/>
              </w:rPr>
              <w:fldChar w:fldCharType="begin"/>
            </w:r>
            <w:r w:rsidR="00422A21">
              <w:rPr>
                <w:noProof/>
                <w:webHidden/>
              </w:rPr>
              <w:instrText xml:space="preserve"> PAGEREF _Toc77328930 \h </w:instrText>
            </w:r>
            <w:r w:rsidR="00422A21">
              <w:rPr>
                <w:noProof/>
                <w:webHidden/>
              </w:rPr>
            </w:r>
            <w:r w:rsidR="00422A21">
              <w:rPr>
                <w:noProof/>
                <w:webHidden/>
              </w:rPr>
              <w:fldChar w:fldCharType="separate"/>
            </w:r>
            <w:r w:rsidR="00422A21">
              <w:rPr>
                <w:noProof/>
                <w:webHidden/>
              </w:rPr>
              <w:t>20</w:t>
            </w:r>
            <w:r w:rsidR="00422A21">
              <w:rPr>
                <w:noProof/>
                <w:webHidden/>
              </w:rPr>
              <w:fldChar w:fldCharType="end"/>
            </w:r>
          </w:hyperlink>
        </w:p>
        <w:p w14:paraId="24CC3A6A" w14:textId="06EF77D3" w:rsidR="00422A21" w:rsidRDefault="00895E1A">
          <w:pPr>
            <w:pStyle w:val="TM1"/>
            <w:tabs>
              <w:tab w:val="left" w:pos="440"/>
              <w:tab w:val="right" w:leader="dot" w:pos="9062"/>
            </w:tabs>
            <w:rPr>
              <w:rFonts w:eastAsiaTheme="minorEastAsia"/>
              <w:noProof/>
              <w:lang w:eastAsia="fr-FR"/>
            </w:rPr>
          </w:pPr>
          <w:hyperlink w:anchor="_Toc77328931" w:history="1">
            <w:r w:rsidR="00422A21" w:rsidRPr="00EF7ECE">
              <w:rPr>
                <w:rStyle w:val="Lienhypertexte"/>
                <w:noProof/>
              </w:rPr>
              <w:t>5</w:t>
            </w:r>
            <w:r w:rsidR="00422A21">
              <w:rPr>
                <w:rFonts w:eastAsiaTheme="minorEastAsia"/>
                <w:noProof/>
                <w:lang w:eastAsia="fr-FR"/>
              </w:rPr>
              <w:tab/>
            </w:r>
            <w:r w:rsidR="00422A21" w:rsidRPr="00EF7ECE">
              <w:rPr>
                <w:rStyle w:val="Lienhypertexte"/>
                <w:noProof/>
              </w:rPr>
              <w:t>Sécuriser le déploiement des mesures et le monitoring des actions engagées</w:t>
            </w:r>
            <w:r w:rsidR="00422A21">
              <w:rPr>
                <w:noProof/>
                <w:webHidden/>
              </w:rPr>
              <w:tab/>
            </w:r>
            <w:r w:rsidR="00422A21">
              <w:rPr>
                <w:noProof/>
                <w:webHidden/>
              </w:rPr>
              <w:fldChar w:fldCharType="begin"/>
            </w:r>
            <w:r w:rsidR="00422A21">
              <w:rPr>
                <w:noProof/>
                <w:webHidden/>
              </w:rPr>
              <w:instrText xml:space="preserve"> PAGEREF _Toc77328931 \h </w:instrText>
            </w:r>
            <w:r w:rsidR="00422A21">
              <w:rPr>
                <w:noProof/>
                <w:webHidden/>
              </w:rPr>
            </w:r>
            <w:r w:rsidR="00422A21">
              <w:rPr>
                <w:noProof/>
                <w:webHidden/>
              </w:rPr>
              <w:fldChar w:fldCharType="separate"/>
            </w:r>
            <w:r w:rsidR="00422A21">
              <w:rPr>
                <w:noProof/>
                <w:webHidden/>
              </w:rPr>
              <w:t>21</w:t>
            </w:r>
            <w:r w:rsidR="00422A21">
              <w:rPr>
                <w:noProof/>
                <w:webHidden/>
              </w:rPr>
              <w:fldChar w:fldCharType="end"/>
            </w:r>
          </w:hyperlink>
        </w:p>
        <w:p w14:paraId="49E9B818" w14:textId="0D25C2E8" w:rsidR="00422A21" w:rsidRDefault="00895E1A">
          <w:pPr>
            <w:pStyle w:val="TM1"/>
            <w:tabs>
              <w:tab w:val="left" w:pos="440"/>
              <w:tab w:val="right" w:leader="dot" w:pos="9062"/>
            </w:tabs>
            <w:rPr>
              <w:rFonts w:eastAsiaTheme="minorEastAsia"/>
              <w:noProof/>
              <w:lang w:eastAsia="fr-FR"/>
            </w:rPr>
          </w:pPr>
          <w:hyperlink w:anchor="_Toc77328932" w:history="1">
            <w:r w:rsidR="00422A21" w:rsidRPr="00EF7ECE">
              <w:rPr>
                <w:rStyle w:val="Lienhypertexte"/>
                <w:noProof/>
              </w:rPr>
              <w:t>6</w:t>
            </w:r>
            <w:r w:rsidR="00422A21">
              <w:rPr>
                <w:rFonts w:eastAsiaTheme="minorEastAsia"/>
                <w:noProof/>
                <w:lang w:eastAsia="fr-FR"/>
              </w:rPr>
              <w:tab/>
            </w:r>
            <w:r w:rsidR="00422A21" w:rsidRPr="00EF7ECE">
              <w:rPr>
                <w:rStyle w:val="Lienhypertexte"/>
                <w:noProof/>
              </w:rPr>
              <w:t>Communication gouvernementale et modalités de poursuite de l’action pour l’attractivité des métiers de l’autonomie</w:t>
            </w:r>
            <w:r w:rsidR="00422A21">
              <w:rPr>
                <w:noProof/>
                <w:webHidden/>
              </w:rPr>
              <w:tab/>
            </w:r>
            <w:r w:rsidR="00422A21">
              <w:rPr>
                <w:noProof/>
                <w:webHidden/>
              </w:rPr>
              <w:fldChar w:fldCharType="begin"/>
            </w:r>
            <w:r w:rsidR="00422A21">
              <w:rPr>
                <w:noProof/>
                <w:webHidden/>
              </w:rPr>
              <w:instrText xml:space="preserve"> PAGEREF _Toc77328932 \h </w:instrText>
            </w:r>
            <w:r w:rsidR="00422A21">
              <w:rPr>
                <w:noProof/>
                <w:webHidden/>
              </w:rPr>
            </w:r>
            <w:r w:rsidR="00422A21">
              <w:rPr>
                <w:noProof/>
                <w:webHidden/>
              </w:rPr>
              <w:fldChar w:fldCharType="separate"/>
            </w:r>
            <w:r w:rsidR="00422A21">
              <w:rPr>
                <w:noProof/>
                <w:webHidden/>
              </w:rPr>
              <w:t>21</w:t>
            </w:r>
            <w:r w:rsidR="00422A21">
              <w:rPr>
                <w:noProof/>
                <w:webHidden/>
              </w:rPr>
              <w:fldChar w:fldCharType="end"/>
            </w:r>
          </w:hyperlink>
        </w:p>
        <w:p w14:paraId="163FA1E0" w14:textId="4A77EC49" w:rsidR="00F9389F" w:rsidRDefault="00F9389F">
          <w:r>
            <w:rPr>
              <w:b/>
              <w:bCs/>
            </w:rPr>
            <w:fldChar w:fldCharType="end"/>
          </w:r>
        </w:p>
      </w:sdtContent>
    </w:sdt>
    <w:p w14:paraId="11313FB4" w14:textId="77777777" w:rsidR="00F9389F" w:rsidRPr="00BC11BA" w:rsidRDefault="00F9389F" w:rsidP="00BC11BA"/>
    <w:p w14:paraId="087F67F8" w14:textId="01823F17" w:rsidR="00F9389F" w:rsidRDefault="00F9389F" w:rsidP="00F9389F">
      <w:r>
        <w:br w:type="page"/>
      </w:r>
    </w:p>
    <w:p w14:paraId="7900E51C" w14:textId="77777777" w:rsidR="006D2A38" w:rsidRPr="00602805" w:rsidRDefault="006D2A38" w:rsidP="00C214FE">
      <w:pPr>
        <w:pStyle w:val="Sous-titre"/>
        <w:rPr>
          <w:i/>
        </w:rPr>
      </w:pPr>
      <w:r w:rsidRPr="00602805">
        <w:rPr>
          <w:i/>
        </w:rPr>
        <w:lastRenderedPageBreak/>
        <w:t xml:space="preserve">Cadrage d’ensemble et mise en perceptive hors négociation salariale </w:t>
      </w:r>
    </w:p>
    <w:p w14:paraId="32626540" w14:textId="77777777" w:rsidR="000F6BE2" w:rsidRPr="00602805" w:rsidRDefault="006D2A38" w:rsidP="00845D49">
      <w:pPr>
        <w:pStyle w:val="Paragraphedeliste"/>
        <w:numPr>
          <w:ilvl w:val="0"/>
          <w:numId w:val="1"/>
        </w:numPr>
        <w:rPr>
          <w:i/>
        </w:rPr>
      </w:pPr>
      <w:r w:rsidRPr="00602805">
        <w:rPr>
          <w:i/>
        </w:rPr>
        <w:t>La lettre de mission du Premier Ministre</w:t>
      </w:r>
      <w:r w:rsidR="005B4D82" w:rsidRPr="00602805">
        <w:rPr>
          <w:i/>
        </w:rPr>
        <w:t>,</w:t>
      </w:r>
      <w:r w:rsidRPr="00602805">
        <w:rPr>
          <w:i/>
        </w:rPr>
        <w:t xml:space="preserve"> tout comme les </w:t>
      </w:r>
      <w:r w:rsidR="007E6CFE" w:rsidRPr="00602805">
        <w:rPr>
          <w:i/>
        </w:rPr>
        <w:t>discussions</w:t>
      </w:r>
      <w:r w:rsidRPr="00602805">
        <w:rPr>
          <w:i/>
        </w:rPr>
        <w:t xml:space="preserve"> </w:t>
      </w:r>
      <w:r w:rsidR="007E6CFE" w:rsidRPr="00602805">
        <w:rPr>
          <w:i/>
        </w:rPr>
        <w:t>initiales</w:t>
      </w:r>
      <w:r w:rsidR="005B4D82" w:rsidRPr="00602805">
        <w:rPr>
          <w:i/>
        </w:rPr>
        <w:t>,</w:t>
      </w:r>
      <w:r w:rsidR="00845D49" w:rsidRPr="00602805">
        <w:rPr>
          <w:i/>
        </w:rPr>
        <w:t xml:space="preserve"> nous invitaient clairement à m</w:t>
      </w:r>
      <w:r w:rsidRPr="00602805">
        <w:rPr>
          <w:i/>
        </w:rPr>
        <w:t xml:space="preserve">ettre en œuvre des actions concrètes et non pas à produire un nouveau rapport sur l’attractivité des métiers de l’autonomie. Dans ce </w:t>
      </w:r>
      <w:r w:rsidR="007E6CFE" w:rsidRPr="00602805">
        <w:rPr>
          <w:i/>
        </w:rPr>
        <w:t>cadre-là</w:t>
      </w:r>
      <w:r w:rsidRPr="00602805">
        <w:rPr>
          <w:i/>
        </w:rPr>
        <w:t xml:space="preserve"> nous nous inspirons principalement de deux sources. </w:t>
      </w:r>
    </w:p>
    <w:p w14:paraId="03D30851" w14:textId="3987B6BE" w:rsidR="006D2A38" w:rsidRPr="00602805" w:rsidRDefault="006D2A38" w:rsidP="00845D49">
      <w:pPr>
        <w:pStyle w:val="Paragraphedeliste"/>
        <w:numPr>
          <w:ilvl w:val="0"/>
          <w:numId w:val="2"/>
        </w:numPr>
        <w:rPr>
          <w:i/>
        </w:rPr>
      </w:pPr>
      <w:r w:rsidRPr="00602805">
        <w:rPr>
          <w:i/>
        </w:rPr>
        <w:t xml:space="preserve">Le rapport de Myriam El </w:t>
      </w:r>
      <w:proofErr w:type="spellStart"/>
      <w:r w:rsidRPr="00602805">
        <w:rPr>
          <w:i/>
        </w:rPr>
        <w:t>Khomri</w:t>
      </w:r>
      <w:proofErr w:type="spellEnd"/>
      <w:r w:rsidRPr="00602805">
        <w:rPr>
          <w:i/>
        </w:rPr>
        <w:t xml:space="preserve"> </w:t>
      </w:r>
      <w:r w:rsidR="007E6CFE" w:rsidRPr="00602805">
        <w:rPr>
          <w:i/>
        </w:rPr>
        <w:t>(totalement</w:t>
      </w:r>
      <w:r w:rsidRPr="00602805">
        <w:rPr>
          <w:i/>
        </w:rPr>
        <w:t xml:space="preserve"> dédié à</w:t>
      </w:r>
      <w:r w:rsidR="00845D49" w:rsidRPr="00602805">
        <w:rPr>
          <w:i/>
        </w:rPr>
        <w:t xml:space="preserve"> la</w:t>
      </w:r>
      <w:r w:rsidRPr="00602805">
        <w:rPr>
          <w:i/>
        </w:rPr>
        <w:t xml:space="preserve"> </w:t>
      </w:r>
      <w:r w:rsidR="007E6CFE" w:rsidRPr="00602805">
        <w:rPr>
          <w:i/>
        </w:rPr>
        <w:t>thématique)</w:t>
      </w:r>
      <w:r w:rsidRPr="00602805">
        <w:rPr>
          <w:i/>
        </w:rPr>
        <w:t xml:space="preserve"> et de Dominique </w:t>
      </w:r>
      <w:proofErr w:type="spellStart"/>
      <w:r w:rsidRPr="00602805">
        <w:rPr>
          <w:i/>
        </w:rPr>
        <w:t>Libaul</w:t>
      </w:r>
      <w:r w:rsidR="00845D49" w:rsidRPr="00602805">
        <w:rPr>
          <w:i/>
        </w:rPr>
        <w:t>t</w:t>
      </w:r>
      <w:proofErr w:type="spellEnd"/>
      <w:r w:rsidRPr="00602805">
        <w:rPr>
          <w:i/>
        </w:rPr>
        <w:t xml:space="preserve"> pour la partie </w:t>
      </w:r>
      <w:r w:rsidR="00845D49" w:rsidRPr="00602805">
        <w:rPr>
          <w:i/>
        </w:rPr>
        <w:t>l’</w:t>
      </w:r>
      <w:r w:rsidRPr="00602805">
        <w:rPr>
          <w:i/>
        </w:rPr>
        <w:t xml:space="preserve">attractivité. J’organise une fois par mois une visio-conférence </w:t>
      </w:r>
      <w:r w:rsidR="00845D49" w:rsidRPr="00602805">
        <w:rPr>
          <w:i/>
        </w:rPr>
        <w:t xml:space="preserve">avec eux, </w:t>
      </w:r>
      <w:r w:rsidR="007E6CFE" w:rsidRPr="00602805">
        <w:rPr>
          <w:i/>
        </w:rPr>
        <w:t xml:space="preserve">qui nous est particulièrement précieuse. </w:t>
      </w:r>
    </w:p>
    <w:p w14:paraId="51F2CA84" w14:textId="4ACD286D" w:rsidR="00845D49" w:rsidRPr="00602805" w:rsidRDefault="007E6CFE" w:rsidP="00845D49">
      <w:pPr>
        <w:pStyle w:val="Paragraphedeliste"/>
        <w:numPr>
          <w:ilvl w:val="0"/>
          <w:numId w:val="2"/>
        </w:numPr>
        <w:rPr>
          <w:i/>
        </w:rPr>
      </w:pPr>
      <w:r w:rsidRPr="00602805">
        <w:rPr>
          <w:i/>
        </w:rPr>
        <w:t>Par ailleurs nous avons beaucoup consulté</w:t>
      </w:r>
      <w:r w:rsidR="006A199E" w:rsidRPr="00602805">
        <w:rPr>
          <w:i/>
        </w:rPr>
        <w:t> : les fédérations employeurs de to</w:t>
      </w:r>
      <w:r w:rsidR="005B4D82" w:rsidRPr="00602805">
        <w:rPr>
          <w:i/>
        </w:rPr>
        <w:t>us les champs (</w:t>
      </w:r>
      <w:r w:rsidR="006A199E" w:rsidRPr="00602805">
        <w:rPr>
          <w:i/>
        </w:rPr>
        <w:t>FHF, FHP, aide à domicile, FEHAP, NEXEM, Croix-Rouge, UGECAM), ainsi que plusieurs employeurs directs, les syndicats de salariés, le Hau</w:t>
      </w:r>
      <w:r w:rsidR="005B4D82" w:rsidRPr="00602805">
        <w:rPr>
          <w:i/>
        </w:rPr>
        <w:t>t-commissariat aux compétences</w:t>
      </w:r>
      <w:r w:rsidR="00845D49" w:rsidRPr="00602805">
        <w:rPr>
          <w:i/>
        </w:rPr>
        <w:t xml:space="preserve">, </w:t>
      </w:r>
      <w:r w:rsidR="001C0045" w:rsidRPr="00602805">
        <w:rPr>
          <w:i/>
        </w:rPr>
        <w:t>les directions d’administration centrale et ca</w:t>
      </w:r>
      <w:r w:rsidR="00845D49" w:rsidRPr="00602805">
        <w:rPr>
          <w:i/>
        </w:rPr>
        <w:t>binets concernés, la CNSA, les u</w:t>
      </w:r>
      <w:r w:rsidR="001C0045" w:rsidRPr="00602805">
        <w:rPr>
          <w:i/>
        </w:rPr>
        <w:t xml:space="preserve">niversités investies dans ce champ, le CNCPH, le GEPSO pour les établissements </w:t>
      </w:r>
      <w:r w:rsidR="005B4D82" w:rsidRPr="00602805">
        <w:rPr>
          <w:i/>
        </w:rPr>
        <w:t>publics, Stephane Le Bo</w:t>
      </w:r>
      <w:r w:rsidR="006165B9" w:rsidRPr="00602805">
        <w:rPr>
          <w:i/>
        </w:rPr>
        <w:t>uler à l’issue de la remise de son rapport en janvier dernier.</w:t>
      </w:r>
    </w:p>
    <w:p w14:paraId="6A50018B" w14:textId="77777777" w:rsidR="001C0045" w:rsidRPr="00602805" w:rsidRDefault="006165B9" w:rsidP="00845D49">
      <w:pPr>
        <w:pStyle w:val="Paragraphedeliste"/>
        <w:rPr>
          <w:i/>
        </w:rPr>
      </w:pPr>
      <w:r w:rsidRPr="00602805">
        <w:rPr>
          <w:i/>
        </w:rPr>
        <w:t xml:space="preserve"> L’Association Nationale de </w:t>
      </w:r>
      <w:r w:rsidR="00845D49" w:rsidRPr="00602805">
        <w:rPr>
          <w:i/>
        </w:rPr>
        <w:t>CREAI,</w:t>
      </w:r>
      <w:r w:rsidRPr="00602805">
        <w:rPr>
          <w:i/>
        </w:rPr>
        <w:t xml:space="preserve"> les OPCO, l’ANFH, le MEDEF, et surtout des salariés eux-mêmes et beaucoup des promoteurs d’action de terrain qui méritent d’être connues, analysées et souvent dupliquées. </w:t>
      </w:r>
    </w:p>
    <w:p w14:paraId="1A58184D" w14:textId="77777777" w:rsidR="006165B9" w:rsidRPr="00602805" w:rsidRDefault="006165B9" w:rsidP="00845D49">
      <w:pPr>
        <w:rPr>
          <w:i/>
        </w:rPr>
      </w:pPr>
      <w:r w:rsidRPr="00602805">
        <w:rPr>
          <w:i/>
        </w:rPr>
        <w:t>Toutes les personnes qui ont souhaité</w:t>
      </w:r>
      <w:r w:rsidR="00845D49" w:rsidRPr="00602805">
        <w:rPr>
          <w:i/>
        </w:rPr>
        <w:t xml:space="preserve"> </w:t>
      </w:r>
      <w:r w:rsidRPr="00602805">
        <w:rPr>
          <w:i/>
        </w:rPr>
        <w:t>être entendues l’ont été. Les conditions sanitaires n’ont pas permis de voir sur place des expér</w:t>
      </w:r>
      <w:r w:rsidR="004C71F9" w:rsidRPr="00602805">
        <w:rPr>
          <w:i/>
        </w:rPr>
        <w:t>iences probantes en dehors des deux</w:t>
      </w:r>
      <w:r w:rsidRPr="00602805">
        <w:rPr>
          <w:i/>
        </w:rPr>
        <w:t xml:space="preserve"> jours passés en Nouvelle </w:t>
      </w:r>
      <w:r w:rsidR="00845D49" w:rsidRPr="00602805">
        <w:rPr>
          <w:i/>
        </w:rPr>
        <w:t>-</w:t>
      </w:r>
      <w:r w:rsidRPr="00602805">
        <w:rPr>
          <w:i/>
        </w:rPr>
        <w:t xml:space="preserve">Aquitaine. Nous y veillerons dès que les conditions s’amélioreront. </w:t>
      </w:r>
    </w:p>
    <w:p w14:paraId="40A8FD8A" w14:textId="77777777" w:rsidR="000B0615" w:rsidRPr="00602805" w:rsidRDefault="006165B9" w:rsidP="00845D49">
      <w:pPr>
        <w:pStyle w:val="Paragraphedeliste"/>
        <w:numPr>
          <w:ilvl w:val="0"/>
          <w:numId w:val="1"/>
        </w:numPr>
        <w:rPr>
          <w:i/>
        </w:rPr>
      </w:pPr>
      <w:r w:rsidRPr="00602805">
        <w:rPr>
          <w:i/>
        </w:rPr>
        <w:t>Notre r</w:t>
      </w:r>
      <w:r w:rsidR="000B0615" w:rsidRPr="00602805">
        <w:rPr>
          <w:i/>
        </w:rPr>
        <w:t xml:space="preserve">egistre a délibérément été celui de l’action avec l’objectif d’obtenir des résultats concrets et des </w:t>
      </w:r>
      <w:r w:rsidR="00845D49" w:rsidRPr="00602805">
        <w:rPr>
          <w:i/>
        </w:rPr>
        <w:t>engagements</w:t>
      </w:r>
      <w:r w:rsidR="000B0615" w:rsidRPr="00602805">
        <w:rPr>
          <w:i/>
        </w:rPr>
        <w:t xml:space="preserve"> fermes par deux moyens : </w:t>
      </w:r>
    </w:p>
    <w:p w14:paraId="2E13807C" w14:textId="77777777" w:rsidR="000B0615" w:rsidRPr="00602805" w:rsidRDefault="000B0615" w:rsidP="00845D49">
      <w:pPr>
        <w:pStyle w:val="Paragraphedeliste"/>
        <w:numPr>
          <w:ilvl w:val="0"/>
          <w:numId w:val="2"/>
        </w:numPr>
        <w:rPr>
          <w:i/>
        </w:rPr>
      </w:pPr>
      <w:r w:rsidRPr="00602805">
        <w:rPr>
          <w:i/>
        </w:rPr>
        <w:t xml:space="preserve">Favoriser et/ou accompagner des évolutions </w:t>
      </w:r>
      <w:r w:rsidR="005E4C5C" w:rsidRPr="00602805">
        <w:rPr>
          <w:i/>
        </w:rPr>
        <w:t>nationales</w:t>
      </w:r>
      <w:r w:rsidRPr="00602805">
        <w:rPr>
          <w:i/>
        </w:rPr>
        <w:t xml:space="preserve"> </w:t>
      </w:r>
      <w:r w:rsidR="00845D49" w:rsidRPr="00602805">
        <w:rPr>
          <w:i/>
        </w:rPr>
        <w:t>(élaboration</w:t>
      </w:r>
      <w:r w:rsidRPr="00602805">
        <w:rPr>
          <w:i/>
        </w:rPr>
        <w:t xml:space="preserve"> ou modification des textes, </w:t>
      </w:r>
      <w:r w:rsidR="00845D49" w:rsidRPr="00602805">
        <w:rPr>
          <w:i/>
        </w:rPr>
        <w:t>redéploiement</w:t>
      </w:r>
      <w:r w:rsidRPr="00602805">
        <w:rPr>
          <w:i/>
        </w:rPr>
        <w:t xml:space="preserve"> des ressources, inflexions des politiques, etc</w:t>
      </w:r>
      <w:r w:rsidR="005E4C5C" w:rsidRPr="00602805">
        <w:rPr>
          <w:i/>
        </w:rPr>
        <w:t>.</w:t>
      </w:r>
      <w:r w:rsidR="004C71F9" w:rsidRPr="00602805">
        <w:rPr>
          <w:i/>
        </w:rPr>
        <w:t>)</w:t>
      </w:r>
      <w:r w:rsidRPr="00602805">
        <w:rPr>
          <w:i/>
        </w:rPr>
        <w:t xml:space="preserve"> des avancées significatives ont déjà été obtenues dans plusieurs secteurs. </w:t>
      </w:r>
    </w:p>
    <w:p w14:paraId="3D34D75C" w14:textId="77777777" w:rsidR="000B0615" w:rsidRPr="00602805" w:rsidRDefault="000B0615" w:rsidP="00845D49">
      <w:pPr>
        <w:pStyle w:val="Paragraphedeliste"/>
        <w:numPr>
          <w:ilvl w:val="0"/>
          <w:numId w:val="2"/>
        </w:numPr>
        <w:rPr>
          <w:i/>
        </w:rPr>
      </w:pPr>
      <w:r w:rsidRPr="00602805">
        <w:rPr>
          <w:i/>
        </w:rPr>
        <w:t>Embarquer deux ou trois régions de manière systémique pour débuter avec elles, une action globale d’attractivité.</w:t>
      </w:r>
    </w:p>
    <w:p w14:paraId="2F36B4BF" w14:textId="77777777" w:rsidR="0012601E" w:rsidRPr="00602805" w:rsidRDefault="000B0615" w:rsidP="00845D49">
      <w:pPr>
        <w:pStyle w:val="Paragraphedeliste"/>
        <w:numPr>
          <w:ilvl w:val="0"/>
          <w:numId w:val="2"/>
        </w:numPr>
        <w:rPr>
          <w:i/>
        </w:rPr>
      </w:pPr>
      <w:r w:rsidRPr="00602805">
        <w:rPr>
          <w:i/>
        </w:rPr>
        <w:t>Notre déplacement en Nouvelle-Aquitaine nous a ainsi permis de rencontrer la quasi-totalité des acteurs susceptibles de s’engager concrètement et par écrit dans ce partenariat : ARS, Conseil Régional, Conseils départementaux employeurs, SGAR, DIRECCTE</w:t>
      </w:r>
      <w:r w:rsidR="0012601E" w:rsidRPr="00602805">
        <w:rPr>
          <w:i/>
        </w:rPr>
        <w:t xml:space="preserve">, POLE EMPLOI, universités, établissements et services … </w:t>
      </w:r>
    </w:p>
    <w:p w14:paraId="60C0D26F" w14:textId="77777777" w:rsidR="0012601E" w:rsidRPr="00602805" w:rsidRDefault="0012601E" w:rsidP="00845D49">
      <w:pPr>
        <w:rPr>
          <w:i/>
        </w:rPr>
      </w:pPr>
      <w:r w:rsidRPr="00602805">
        <w:rPr>
          <w:i/>
        </w:rPr>
        <w:t xml:space="preserve">La totalité des engagements seront remontés à la fin du mois d’avril et feront l’objet d’une convention formalisée. Certains de ces engagements ont déjà été obtenus : </w:t>
      </w:r>
    </w:p>
    <w:p w14:paraId="6055DE5D" w14:textId="7C08309A" w:rsidR="006D2A38" w:rsidRPr="00602805" w:rsidRDefault="0012601E" w:rsidP="00845D49">
      <w:pPr>
        <w:pStyle w:val="Paragraphedeliste"/>
        <w:numPr>
          <w:ilvl w:val="0"/>
          <w:numId w:val="2"/>
        </w:numPr>
        <w:rPr>
          <w:i/>
        </w:rPr>
      </w:pPr>
      <w:r w:rsidRPr="00602805">
        <w:rPr>
          <w:i/>
        </w:rPr>
        <w:t xml:space="preserve">Un département s’engage dans une politique d’emploi à temps plein, pour 100% </w:t>
      </w:r>
      <w:r w:rsidR="00851D14" w:rsidRPr="00602805">
        <w:rPr>
          <w:i/>
        </w:rPr>
        <w:t xml:space="preserve">des salariés à domicile </w:t>
      </w:r>
      <w:r w:rsidRPr="00602805">
        <w:rPr>
          <w:i/>
        </w:rPr>
        <w:t>qui le souhaitent, le Conseil Régional financera deux pos</w:t>
      </w:r>
      <w:r w:rsidR="006C471C" w:rsidRPr="00602805">
        <w:rPr>
          <w:i/>
        </w:rPr>
        <w:t>tes de chargés de mission qui iront chez les employeurs de l’aide à domicile pour leur expliquer comment la mise à disposition d’une flotte de véhicules de service est possible</w:t>
      </w:r>
      <w:r w:rsidR="00851D14" w:rsidRPr="00602805">
        <w:rPr>
          <w:i/>
        </w:rPr>
        <w:t> ;</w:t>
      </w:r>
      <w:r w:rsidR="006C471C" w:rsidRPr="00602805">
        <w:rPr>
          <w:i/>
        </w:rPr>
        <w:t xml:space="preserve"> ces deux personnes seront embauchées par deux employeurs (un du secteur associatif, l’autre du secteur commercial) qui ont inventé un modèle économique moins couteux que le remboursement des indemnités kilométriques</w:t>
      </w:r>
      <w:r w:rsidR="00851D14" w:rsidRPr="00602805">
        <w:rPr>
          <w:i/>
        </w:rPr>
        <w:t> ;</w:t>
      </w:r>
      <w:r w:rsidR="006C471C" w:rsidRPr="00602805">
        <w:rPr>
          <w:i/>
        </w:rPr>
        <w:t xml:space="preserve"> enfin il y a un accord pour </w:t>
      </w:r>
      <w:r w:rsidR="00851D14" w:rsidRPr="00602805">
        <w:rPr>
          <w:i/>
        </w:rPr>
        <w:t xml:space="preserve">un </w:t>
      </w:r>
      <w:r w:rsidR="006C471C" w:rsidRPr="00602805">
        <w:rPr>
          <w:i/>
        </w:rPr>
        <w:t>plan global pour tous les instituts de formation d’</w:t>
      </w:r>
      <w:r w:rsidR="00845D49" w:rsidRPr="00602805">
        <w:rPr>
          <w:i/>
        </w:rPr>
        <w:t>aides-soignantes</w:t>
      </w:r>
      <w:r w:rsidR="005E4C5C" w:rsidRPr="00602805">
        <w:rPr>
          <w:i/>
        </w:rPr>
        <w:t xml:space="preserve"> (</w:t>
      </w:r>
      <w:r w:rsidR="006C471C" w:rsidRPr="00602805">
        <w:rPr>
          <w:i/>
        </w:rPr>
        <w:t>IFAS) qui s’</w:t>
      </w:r>
      <w:r w:rsidR="00845D49" w:rsidRPr="00602805">
        <w:rPr>
          <w:i/>
        </w:rPr>
        <w:t>engageront</w:t>
      </w:r>
      <w:r w:rsidR="006C471C" w:rsidRPr="00602805">
        <w:rPr>
          <w:i/>
        </w:rPr>
        <w:t xml:space="preserve"> dans divers domaines de recherches </w:t>
      </w:r>
      <w:r w:rsidR="00851D14" w:rsidRPr="00602805">
        <w:rPr>
          <w:i/>
        </w:rPr>
        <w:t xml:space="preserve">de </w:t>
      </w:r>
      <w:r w:rsidR="006C471C" w:rsidRPr="00602805">
        <w:rPr>
          <w:i/>
        </w:rPr>
        <w:t xml:space="preserve">candidatures par tous moyens, développement de l’apprentissage y compris en créant des CFA, actualisation des formations… </w:t>
      </w:r>
    </w:p>
    <w:p w14:paraId="59408128" w14:textId="77777777" w:rsidR="006C471C" w:rsidRPr="00602805" w:rsidRDefault="006C471C" w:rsidP="00845D49">
      <w:pPr>
        <w:rPr>
          <w:i/>
        </w:rPr>
      </w:pPr>
      <w:r w:rsidRPr="00602805">
        <w:rPr>
          <w:i/>
        </w:rPr>
        <w:t xml:space="preserve">Dès la fin du confinement, le même processus sera enclenché avec deux autres régions et sur d’autres territoires plus réduits qui se sont manifestés. </w:t>
      </w:r>
    </w:p>
    <w:p w14:paraId="1AA7C08A" w14:textId="079AA39E" w:rsidR="00FD7727" w:rsidRPr="00602805" w:rsidRDefault="006C471C" w:rsidP="005E4C5C">
      <w:pPr>
        <w:rPr>
          <w:i/>
        </w:rPr>
      </w:pPr>
      <w:r w:rsidRPr="00602805">
        <w:rPr>
          <w:i/>
        </w:rPr>
        <w:t>Les actions, si e</w:t>
      </w:r>
      <w:r w:rsidR="00FD7727" w:rsidRPr="00602805">
        <w:rPr>
          <w:i/>
        </w:rPr>
        <w:t>lles sont évaluées positivement, auront vocation à nourrir la fut</w:t>
      </w:r>
      <w:r w:rsidR="005E4C5C" w:rsidRPr="00602805">
        <w:rPr>
          <w:i/>
        </w:rPr>
        <w:t xml:space="preserve">ure loi « autonomie grand âge ». </w:t>
      </w:r>
      <w:r w:rsidR="00065376" w:rsidRPr="00602805">
        <w:rPr>
          <w:i/>
        </w:rPr>
        <w:t>La mission travaille</w:t>
      </w:r>
      <w:r w:rsidR="00A725D9" w:rsidRPr="00602805">
        <w:rPr>
          <w:i/>
        </w:rPr>
        <w:t xml:space="preserve"> étroitement avec le ministère délégué à l’Autonomie qui pilote le plan métier</w:t>
      </w:r>
      <w:r w:rsidR="0058333C" w:rsidRPr="00602805">
        <w:rPr>
          <w:i/>
        </w:rPr>
        <w:t xml:space="preserve"> du grand âge. </w:t>
      </w:r>
    </w:p>
    <w:p w14:paraId="30921BEA" w14:textId="24CBBA27" w:rsidR="00FD7727" w:rsidRPr="00602805" w:rsidRDefault="00FD7727" w:rsidP="00FD7727">
      <w:pPr>
        <w:pStyle w:val="Paragraphedeliste"/>
        <w:numPr>
          <w:ilvl w:val="0"/>
          <w:numId w:val="1"/>
        </w:numPr>
        <w:rPr>
          <w:i/>
          <w:szCs w:val="24"/>
        </w:rPr>
      </w:pPr>
      <w:r w:rsidRPr="00602805">
        <w:rPr>
          <w:i/>
          <w:szCs w:val="24"/>
        </w:rPr>
        <w:t xml:space="preserve">Enfin </w:t>
      </w:r>
      <w:r w:rsidR="00287DDE" w:rsidRPr="00602805">
        <w:rPr>
          <w:i/>
          <w:szCs w:val="24"/>
        </w:rPr>
        <w:t xml:space="preserve">la mission a choisi de travailler principalement sur </w:t>
      </w:r>
      <w:r w:rsidR="00065376" w:rsidRPr="00602805">
        <w:rPr>
          <w:i/>
          <w:szCs w:val="24"/>
        </w:rPr>
        <w:t>quatre</w:t>
      </w:r>
      <w:r w:rsidR="00287DDE" w:rsidRPr="00602805">
        <w:rPr>
          <w:i/>
          <w:szCs w:val="24"/>
        </w:rPr>
        <w:t xml:space="preserve"> grand thèmes : </w:t>
      </w:r>
    </w:p>
    <w:p w14:paraId="7045B92B" w14:textId="1C32F319" w:rsidR="00287DDE" w:rsidRPr="00602805" w:rsidRDefault="00287DDE" w:rsidP="00A725D9">
      <w:pPr>
        <w:pStyle w:val="Paragraphedeliste"/>
        <w:numPr>
          <w:ilvl w:val="0"/>
          <w:numId w:val="11"/>
        </w:numPr>
        <w:rPr>
          <w:i/>
        </w:rPr>
      </w:pPr>
      <w:r w:rsidRPr="00602805">
        <w:rPr>
          <w:i/>
        </w:rPr>
        <w:t xml:space="preserve">Formation, </w:t>
      </w:r>
      <w:r w:rsidR="00845D49" w:rsidRPr="00602805">
        <w:rPr>
          <w:i/>
        </w:rPr>
        <w:t>apprentissage</w:t>
      </w:r>
      <w:r w:rsidRPr="00602805">
        <w:rPr>
          <w:i/>
        </w:rPr>
        <w:t xml:space="preserve"> </w:t>
      </w:r>
      <w:r w:rsidR="00145D77" w:rsidRPr="00602805">
        <w:rPr>
          <w:i/>
        </w:rPr>
        <w:t>et VAE</w:t>
      </w:r>
    </w:p>
    <w:p w14:paraId="3DDDACAB" w14:textId="708F590C" w:rsidR="00145D77" w:rsidRPr="00602805" w:rsidRDefault="00C214FE" w:rsidP="00A725D9">
      <w:pPr>
        <w:pStyle w:val="Paragraphedeliste"/>
        <w:numPr>
          <w:ilvl w:val="0"/>
          <w:numId w:val="11"/>
        </w:numPr>
        <w:rPr>
          <w:i/>
        </w:rPr>
      </w:pPr>
      <w:r w:rsidRPr="00602805">
        <w:rPr>
          <w:i/>
        </w:rPr>
        <w:t>Qualité de vie au travail et l</w:t>
      </w:r>
      <w:r w:rsidR="00145D77" w:rsidRPr="00602805">
        <w:rPr>
          <w:i/>
        </w:rPr>
        <w:t xml:space="preserve">utte contre la sinistralité </w:t>
      </w:r>
    </w:p>
    <w:p w14:paraId="7C35F44F" w14:textId="6AC1C1B4" w:rsidR="00145D77" w:rsidRPr="00602805" w:rsidRDefault="00145D77" w:rsidP="00A725D9">
      <w:pPr>
        <w:pStyle w:val="Paragraphedeliste"/>
        <w:numPr>
          <w:ilvl w:val="0"/>
          <w:numId w:val="11"/>
        </w:numPr>
        <w:rPr>
          <w:i/>
        </w:rPr>
      </w:pPr>
      <w:r w:rsidRPr="00602805">
        <w:rPr>
          <w:i/>
        </w:rPr>
        <w:lastRenderedPageBreak/>
        <w:t xml:space="preserve">Aide à la mobilité (permis, véhicule, </w:t>
      </w:r>
      <w:r w:rsidR="00845D49" w:rsidRPr="00602805">
        <w:rPr>
          <w:i/>
        </w:rPr>
        <w:t>etc.</w:t>
      </w:r>
      <w:r w:rsidRPr="00602805">
        <w:rPr>
          <w:i/>
        </w:rPr>
        <w:t xml:space="preserve">) </w:t>
      </w:r>
    </w:p>
    <w:p w14:paraId="649654F1" w14:textId="77777777" w:rsidR="00145D77" w:rsidRPr="00602805" w:rsidRDefault="00145D77" w:rsidP="00A725D9">
      <w:pPr>
        <w:pStyle w:val="Paragraphedeliste"/>
        <w:numPr>
          <w:ilvl w:val="0"/>
          <w:numId w:val="11"/>
        </w:numPr>
        <w:rPr>
          <w:i/>
        </w:rPr>
      </w:pPr>
      <w:r w:rsidRPr="00602805">
        <w:rPr>
          <w:i/>
        </w:rPr>
        <w:t xml:space="preserve">Plateforme de transition (aide à la </w:t>
      </w:r>
      <w:r w:rsidR="00845D49" w:rsidRPr="00602805">
        <w:rPr>
          <w:i/>
        </w:rPr>
        <w:t>reconversion)</w:t>
      </w:r>
    </w:p>
    <w:p w14:paraId="7645946A" w14:textId="6193E22A" w:rsidR="00145D77" w:rsidRPr="00602805" w:rsidRDefault="00065376" w:rsidP="0062163C">
      <w:pPr>
        <w:rPr>
          <w:i/>
        </w:rPr>
      </w:pPr>
      <w:r w:rsidRPr="00602805">
        <w:rPr>
          <w:i/>
        </w:rPr>
        <w:t xml:space="preserve">Le ministère délégué à l’Autonomie prépare pour sa part </w:t>
      </w:r>
      <w:r w:rsidR="0062163C" w:rsidRPr="00602805">
        <w:rPr>
          <w:i/>
        </w:rPr>
        <w:t xml:space="preserve">notamment </w:t>
      </w:r>
      <w:r w:rsidRPr="00602805">
        <w:rPr>
          <w:i/>
        </w:rPr>
        <w:t>des propositions sur la communication nationale destinée à la valorisation de ces métiers</w:t>
      </w:r>
      <w:r w:rsidR="0062163C" w:rsidRPr="00602805">
        <w:rPr>
          <w:i/>
        </w:rPr>
        <w:t>,</w:t>
      </w:r>
      <w:r w:rsidRPr="00602805">
        <w:rPr>
          <w:i/>
        </w:rPr>
        <w:t xml:space="preserve"> et à la mise en place d’une carte professionnelle et d’un macaron destinés à apporter des solutions de stationnement. </w:t>
      </w:r>
    </w:p>
    <w:p w14:paraId="35283FFC" w14:textId="77777777" w:rsidR="00065376" w:rsidRDefault="00065376" w:rsidP="0062163C"/>
    <w:p w14:paraId="7D37830B" w14:textId="77777777" w:rsidR="00350B95" w:rsidRDefault="00350B95">
      <w:pPr>
        <w:spacing w:after="160" w:line="259" w:lineRule="auto"/>
        <w:jc w:val="left"/>
        <w:rPr>
          <w:rFonts w:eastAsiaTheme="minorEastAsia"/>
          <w:b/>
          <w:color w:val="5A5A5A" w:themeColor="text1" w:themeTint="A5"/>
          <w:spacing w:val="15"/>
          <w:sz w:val="28"/>
        </w:rPr>
      </w:pPr>
      <w:r>
        <w:br w:type="page"/>
      </w:r>
    </w:p>
    <w:p w14:paraId="665B91CE" w14:textId="425CCD29" w:rsidR="00145D77" w:rsidRDefault="00145D77" w:rsidP="00C214FE">
      <w:pPr>
        <w:pStyle w:val="Sous-titre"/>
      </w:pPr>
      <w:r>
        <w:lastRenderedPageBreak/>
        <w:t>Avancées sur les princip</w:t>
      </w:r>
      <w:r w:rsidR="00D84C63">
        <w:t>ales actions menées à ce jour</w:t>
      </w:r>
    </w:p>
    <w:p w14:paraId="232AC4ED" w14:textId="50D7797F" w:rsidR="00D84C63" w:rsidRDefault="00C214FE" w:rsidP="00C214FE">
      <w:pPr>
        <w:pStyle w:val="Titre1"/>
      </w:pPr>
      <w:bookmarkStart w:id="0" w:name="_Toc77328903"/>
      <w:r>
        <w:t xml:space="preserve">Formation </w:t>
      </w:r>
      <w:r w:rsidR="00851D14">
        <w:t>-</w:t>
      </w:r>
      <w:r>
        <w:t xml:space="preserve"> apprentissage</w:t>
      </w:r>
      <w:bookmarkEnd w:id="0"/>
      <w:r>
        <w:t xml:space="preserve"> </w:t>
      </w:r>
    </w:p>
    <w:p w14:paraId="3AD18ECA" w14:textId="77777777" w:rsidR="00C26E04" w:rsidRDefault="0084378E" w:rsidP="00C214FE">
      <w:r>
        <w:t>Pour répondre au défi que représente l’évolution démographique de la population française en terme</w:t>
      </w:r>
      <w:r w:rsidR="004D4889">
        <w:t>s</w:t>
      </w:r>
      <w:r>
        <w:t xml:space="preserve"> de prise en charge des personnes en perte d’autonomie, il serait nécessaire de former </w:t>
      </w:r>
      <w:r w:rsidR="00C26E04">
        <w:t>260 000 professionnels d’ici 2025, correspondant à la création de 93</w:t>
      </w:r>
      <w:r w:rsidR="004D4889">
        <w:t> 000 emploi</w:t>
      </w:r>
      <w:r w:rsidR="009A238E">
        <w:t>s</w:t>
      </w:r>
      <w:r w:rsidR="004D4889">
        <w:t xml:space="preserve"> et au turn-over important </w:t>
      </w:r>
      <w:r w:rsidR="009A238E">
        <w:t xml:space="preserve">dans </w:t>
      </w:r>
      <w:r w:rsidR="004D4889">
        <w:t>ce secteur</w:t>
      </w:r>
      <w:r w:rsidR="004D4889">
        <w:rPr>
          <w:rStyle w:val="Appelnotedebasdep"/>
        </w:rPr>
        <w:footnoteReference w:id="1"/>
      </w:r>
      <w:r w:rsidR="004D4889">
        <w:t>. Plus immédiatement, il convient d’apporter des solutions urgentes</w:t>
      </w:r>
      <w:r w:rsidR="00987E5F">
        <w:t xml:space="preserve"> pour traverser la crise,</w:t>
      </w:r>
      <w:r w:rsidR="004D4889">
        <w:t xml:space="preserve"> et </w:t>
      </w:r>
      <w:r w:rsidR="00987E5F">
        <w:t xml:space="preserve">des solutions </w:t>
      </w:r>
      <w:r w:rsidR="004D4889">
        <w:t>structurelles pour attirer des personnes vers ces métiers, rendre les carrières attractives</w:t>
      </w:r>
      <w:r w:rsidR="009A238E">
        <w:t xml:space="preserve"> et limiter le</w:t>
      </w:r>
      <w:r w:rsidR="00987E5F">
        <w:t>s départs</w:t>
      </w:r>
      <w:r w:rsidR="009A238E">
        <w:t xml:space="preserve"> de professionnels qui</w:t>
      </w:r>
      <w:r w:rsidR="006B27B1">
        <w:t xml:space="preserve"> abandonnent</w:t>
      </w:r>
      <w:r w:rsidR="00987E5F">
        <w:t xml:space="preserve">. Il convient </w:t>
      </w:r>
      <w:r w:rsidR="009A238E">
        <w:t>enfin</w:t>
      </w:r>
      <w:r w:rsidR="00987E5F">
        <w:t xml:space="preserve"> de développer les compétences managériales et la culture RH</w:t>
      </w:r>
      <w:r w:rsidR="009A238E">
        <w:t xml:space="preserve"> d’une partie importante des dirigeants et cadres intermédiaires du secteur</w:t>
      </w:r>
      <w:r w:rsidR="00987E5F">
        <w:t> : levier critique pour favoriser les progressions de carrières, mais aussi pour développer la qualité de vie au travail</w:t>
      </w:r>
      <w:r w:rsidR="006B27B1">
        <w:t xml:space="preserve"> et lutter contre la sinistralité</w:t>
      </w:r>
      <w:r w:rsidR="009A238E">
        <w:t>,</w:t>
      </w:r>
      <w:r w:rsidR="00987E5F">
        <w:t xml:space="preserve"> comme on le verra dans la partie dédiée à ces sujets (cf. </w:t>
      </w:r>
      <w:r w:rsidR="00987E5F">
        <w:rPr>
          <w:i/>
        </w:rPr>
        <w:t>infra</w:t>
      </w:r>
      <w:r w:rsidR="00976B56">
        <w:rPr>
          <w:i/>
        </w:rPr>
        <w:t xml:space="preserve"> </w:t>
      </w:r>
      <w:r w:rsidR="00976B56">
        <w:t>3.</w:t>
      </w:r>
      <w:r w:rsidR="00987E5F">
        <w:t xml:space="preserve">). </w:t>
      </w:r>
    </w:p>
    <w:p w14:paraId="145FBB4B" w14:textId="77777777" w:rsidR="009A238E" w:rsidRDefault="009A238E" w:rsidP="009A238E">
      <w:pPr>
        <w:pStyle w:val="Titre2"/>
      </w:pPr>
      <w:bookmarkStart w:id="1" w:name="_Toc77328904"/>
      <w:r>
        <w:t>Le recrutement : parer à l’urgence</w:t>
      </w:r>
      <w:bookmarkEnd w:id="1"/>
    </w:p>
    <w:p w14:paraId="37A0F2E8" w14:textId="345B10F7" w:rsidR="009A238E" w:rsidRDefault="00875BF1" w:rsidP="00875BF1">
      <w:pPr>
        <w:pStyle w:val="Titre3"/>
      </w:pPr>
      <w:bookmarkStart w:id="2" w:name="_Toc77328905"/>
      <w:r>
        <w:t>Le plan de recrutement d’urgence lancé par la DGCS et la DGEFP à l’</w:t>
      </w:r>
      <w:r w:rsidR="00AA2E38">
        <w:t>automne</w:t>
      </w:r>
      <w:r w:rsidR="00412705">
        <w:t xml:space="preserve"> 2020</w:t>
      </w:r>
      <w:bookmarkEnd w:id="2"/>
    </w:p>
    <w:p w14:paraId="34936CC6" w14:textId="23288D42" w:rsidR="00330FBC" w:rsidRDefault="00AA2E38" w:rsidP="00AA2E38">
      <w:r>
        <w:t>La circulaire interministérielle</w:t>
      </w:r>
      <w:r w:rsidRPr="00AA2E38">
        <w:t xml:space="preserve"> DGCS/SD4/DGT/DGEFP/2020/179 du 09 octobre 2020 relative à la mise en place d'une campagne de recrutement d'urgen</w:t>
      </w:r>
      <w:r w:rsidR="00F46246">
        <w:t>ce sur les métiers du grand âge a notamment initié des coopérations renforcées entre les ARS et le Service public de l’emploi. Il en résulte des initiatives variées qui ont concouru à un nombre de recrutements significatif</w:t>
      </w:r>
      <w:r w:rsidR="00330FBC">
        <w:t xml:space="preserve"> en 6 mois (oct</w:t>
      </w:r>
      <w:r w:rsidR="00412705">
        <w:t>obre</w:t>
      </w:r>
      <w:r w:rsidR="00330FBC">
        <w:t xml:space="preserve"> </w:t>
      </w:r>
      <w:r w:rsidR="00412705">
        <w:t>20</w:t>
      </w:r>
      <w:r w:rsidR="00330FBC">
        <w:t xml:space="preserve">20 à avril </w:t>
      </w:r>
      <w:r w:rsidR="00412705">
        <w:t>20</w:t>
      </w:r>
      <w:r w:rsidR="00330FBC">
        <w:t>21) :</w:t>
      </w:r>
    </w:p>
    <w:p w14:paraId="16C0AE24" w14:textId="715B42C8" w:rsidR="00330FBC" w:rsidRDefault="00330FBC" w:rsidP="00330FBC">
      <w:pPr>
        <w:pStyle w:val="Paragraphedeliste"/>
        <w:numPr>
          <w:ilvl w:val="0"/>
          <w:numId w:val="2"/>
        </w:numPr>
      </w:pPr>
      <w:r>
        <w:t>Près de 19 000 recrutements en EHPAD, pour 23 500 offres déposées</w:t>
      </w:r>
      <w:r w:rsidR="00412705">
        <w:t> ;</w:t>
      </w:r>
    </w:p>
    <w:p w14:paraId="78E5561E" w14:textId="4660051B" w:rsidR="00AA2E38" w:rsidRDefault="00330FBC" w:rsidP="00330FBC">
      <w:pPr>
        <w:pStyle w:val="Paragraphedeliste"/>
        <w:numPr>
          <w:ilvl w:val="0"/>
          <w:numId w:val="2"/>
        </w:numPr>
      </w:pPr>
      <w:r>
        <w:t>Plus de 40 000 recrutements dans l’aid</w:t>
      </w:r>
      <w:r w:rsidR="0019251E">
        <w:t>e à la personne, pour près de 52 </w:t>
      </w:r>
      <w:r>
        <w:t>00</w:t>
      </w:r>
      <w:r w:rsidR="0019251E">
        <w:t>0</w:t>
      </w:r>
      <w:r>
        <w:t xml:space="preserve"> offres déposées.</w:t>
      </w:r>
    </w:p>
    <w:p w14:paraId="1125C233" w14:textId="77777777" w:rsidR="00875BF1" w:rsidRDefault="00875BF1" w:rsidP="00875BF1">
      <w:pPr>
        <w:pStyle w:val="Titre3"/>
      </w:pPr>
      <w:bookmarkStart w:id="3" w:name="_Toc77328906"/>
      <w:r>
        <w:t>Les formations courtes pour intégrer des professionnels non qualifiés</w:t>
      </w:r>
      <w:bookmarkEnd w:id="3"/>
    </w:p>
    <w:p w14:paraId="7097D765" w14:textId="77777777" w:rsidR="00703E02" w:rsidRDefault="00703E02" w:rsidP="00703E02">
      <w:pPr>
        <w:pStyle w:val="Titre4"/>
      </w:pPr>
      <w:r>
        <w:t>Formation courte pour les ASHQ</w:t>
      </w:r>
    </w:p>
    <w:p w14:paraId="0C2F38BA" w14:textId="77777777" w:rsidR="00A074FB" w:rsidRDefault="00330FBC" w:rsidP="00330FBC">
      <w:r w:rsidRPr="003712E3">
        <w:rPr>
          <w:b/>
        </w:rPr>
        <w:t>L’instruction DGOS/RH1/DGCS/2021/8 du 6 janvier 2021 relative au renforcement des compétences des agents des services hospitaliers qualifiés (ASHQ)</w:t>
      </w:r>
      <w:r>
        <w:t xml:space="preserve"> pour faire face aux besoins accrus d’aides-soignants dans le secteur du grand âge a encouragé à mobiliser une formation courte (70h) pour permettre à des ASH</w:t>
      </w:r>
      <w:r w:rsidR="00A074FB">
        <w:t>Q</w:t>
      </w:r>
      <w:r>
        <w:t>, en toute sécurité, de se voir déléguer certains actes relevant de la responsabilité des Aides-soignants</w:t>
      </w:r>
      <w:r w:rsidR="00A074FB">
        <w:t xml:space="preserve"> (AS)</w:t>
      </w:r>
      <w:r>
        <w:t xml:space="preserve">. Le dispositif vise à sécuriser une pratique de délégation </w:t>
      </w:r>
      <w:r w:rsidR="005A0C11">
        <w:t xml:space="preserve">d’actes, </w:t>
      </w:r>
      <w:r>
        <w:t xml:space="preserve">contrainte </w:t>
      </w:r>
      <w:r w:rsidR="00A074FB">
        <w:t>par</w:t>
      </w:r>
      <w:r>
        <w:t xml:space="preserve"> la charge</w:t>
      </w:r>
      <w:r w:rsidR="00A074FB">
        <w:t xml:space="preserve"> dans les services sanitaires et médico-sociaux</w:t>
      </w:r>
      <w:r>
        <w:t xml:space="preserve">. </w:t>
      </w:r>
      <w:r w:rsidR="00A074FB">
        <w:t xml:space="preserve">Pour que ces personnels </w:t>
      </w:r>
      <w:r w:rsidR="005A0C11">
        <w:t xml:space="preserve">qui s’engagent dans cette formation courte </w:t>
      </w:r>
      <w:r w:rsidR="00A074FB">
        <w:t xml:space="preserve">soient encouragés à </w:t>
      </w:r>
      <w:r w:rsidR="005A0C11">
        <w:t xml:space="preserve">se qualifier pour </w:t>
      </w:r>
      <w:r w:rsidR="00A074FB">
        <w:t xml:space="preserve">devenir AS, à certaines conditions d’ancienneté, </w:t>
      </w:r>
      <w:r w:rsidR="005A0C11">
        <w:t xml:space="preserve">ils </w:t>
      </w:r>
      <w:r w:rsidR="00A074FB">
        <w:t>sont exemptés de procédure de sélection à l’entrée des IFAS</w:t>
      </w:r>
      <w:r w:rsidR="009F5780">
        <w:rPr>
          <w:rStyle w:val="Appelnotedebasdep"/>
        </w:rPr>
        <w:footnoteReference w:id="2"/>
      </w:r>
      <w:r w:rsidR="00A074FB">
        <w:t xml:space="preserve">. </w:t>
      </w:r>
    </w:p>
    <w:p w14:paraId="0A9FF4F1" w14:textId="55589223" w:rsidR="00330FBC" w:rsidRDefault="00A074FB" w:rsidP="00330FBC">
      <w:r w:rsidRPr="005A0C11">
        <w:rPr>
          <w:i/>
          <w:color w:val="FF0000"/>
        </w:rPr>
        <w:t xml:space="preserve">Prévu pour durer jusqu’au début du mois de juillet, </w:t>
      </w:r>
      <w:r w:rsidR="005A0C11" w:rsidRPr="005A0C11">
        <w:rPr>
          <w:i/>
          <w:color w:val="FF0000"/>
        </w:rPr>
        <w:t>ce dispositif</w:t>
      </w:r>
      <w:r w:rsidRPr="005A0C11">
        <w:rPr>
          <w:i/>
          <w:color w:val="FF0000"/>
        </w:rPr>
        <w:t xml:space="preserve"> </w:t>
      </w:r>
      <w:r w:rsidR="008A3EB2">
        <w:rPr>
          <w:i/>
          <w:color w:val="FF0000"/>
        </w:rPr>
        <w:t>devrait</w:t>
      </w:r>
      <w:r w:rsidRPr="005A0C11">
        <w:rPr>
          <w:i/>
          <w:color w:val="FF0000"/>
        </w:rPr>
        <w:t xml:space="preserve"> être prolongé</w:t>
      </w:r>
      <w:r w:rsidR="008A3EB2">
        <w:rPr>
          <w:i/>
          <w:color w:val="FF0000"/>
        </w:rPr>
        <w:t> ; l’opportunité de rallonger cette formation pour qu’elle permette la validation d’un bloc de compétences est à l’étude</w:t>
      </w:r>
      <w:r w:rsidRPr="005A0C11">
        <w:rPr>
          <w:i/>
          <w:color w:val="FF0000"/>
        </w:rPr>
        <w:t>.</w:t>
      </w:r>
      <w:r w:rsidRPr="005A0C11">
        <w:t xml:space="preserve"> </w:t>
      </w:r>
      <w:r w:rsidR="005A0C11">
        <w:t xml:space="preserve">En effet, </w:t>
      </w:r>
      <w:r>
        <w:t xml:space="preserve">ayant été conçu après validation des plans de développement des compétences, les employeurs rencontrent des difficultés à le financer. </w:t>
      </w:r>
      <w:r w:rsidR="00034498">
        <w:t>La FHF</w:t>
      </w:r>
      <w:r w:rsidR="00034498">
        <w:rPr>
          <w:rStyle w:val="Appelnotedebasdep"/>
        </w:rPr>
        <w:footnoteReference w:id="3"/>
      </w:r>
      <w:r w:rsidR="00034498">
        <w:t xml:space="preserve"> indique </w:t>
      </w:r>
      <w:r w:rsidR="00A766F3">
        <w:t>à la fois qu’un semestre, c’est court pour se saisir d’un tel dispositif, et que par ailleurs il vient percuter l’ordre des priorités des</w:t>
      </w:r>
      <w:r w:rsidR="008A3EB2">
        <w:t xml:space="preserve"> établissements : les « faisant</w:t>
      </w:r>
      <w:r w:rsidR="00A766F3">
        <w:t xml:space="preserve"> fonction » de longue date n’en ont pas besoin et son</w:t>
      </w:r>
      <w:r w:rsidR="005E45E9">
        <w:t>t</w:t>
      </w:r>
      <w:r w:rsidR="00A766F3">
        <w:t xml:space="preserve"> prioritaires pour </w:t>
      </w:r>
      <w:r w:rsidR="005E45E9">
        <w:lastRenderedPageBreak/>
        <w:t>accéder aux études promotionnelles ; en somme, ils sont partagés quant à l’opportunité de le prolonger !</w:t>
      </w:r>
    </w:p>
    <w:p w14:paraId="35846BF6" w14:textId="77777777" w:rsidR="00703E02" w:rsidRDefault="00703E02" w:rsidP="00703E02">
      <w:pPr>
        <w:pStyle w:val="Titre4"/>
      </w:pPr>
      <w:r>
        <w:t>Formation courte pour acquérir les bases de la prise en charge des personnes âgées</w:t>
      </w:r>
    </w:p>
    <w:p w14:paraId="342E8EDD" w14:textId="5A564D79" w:rsidR="00703E02" w:rsidRDefault="00A65613" w:rsidP="00A65613">
      <w:r>
        <w:rPr>
          <w:b/>
        </w:rPr>
        <w:t xml:space="preserve">L’instruction interministérielle N° </w:t>
      </w:r>
      <w:r w:rsidRPr="00A65613">
        <w:rPr>
          <w:b/>
        </w:rPr>
        <w:t>DGCS/SD4A/DGEFP/2021/72 du 1er avril 2021 relative à l’accompagnement des employeurs pour recruter des demandeurs d’emplois ou des salariés en reconversion professionnelle,</w:t>
      </w:r>
      <w:r w:rsidRPr="00A65613">
        <w:t xml:space="preserve"> </w:t>
      </w:r>
      <w:r w:rsidRPr="00A65613">
        <w:rPr>
          <w:b/>
        </w:rPr>
        <w:t>en leur apportant les prérequis nécessaires à un exercice dans le secteur du grand âge</w:t>
      </w:r>
      <w:r>
        <w:t xml:space="preserve"> </w:t>
      </w:r>
      <w:r w:rsidR="0007666B" w:rsidRPr="00A65613">
        <w:t>encourage également à mobiliser des formations courtes</w:t>
      </w:r>
      <w:r w:rsidR="005A0C11" w:rsidRPr="00A65613">
        <w:t>, cette fois en</w:t>
      </w:r>
      <w:r w:rsidR="005A0C11">
        <w:t xml:space="preserve"> préalable</w:t>
      </w:r>
      <w:r w:rsidR="0007666B">
        <w:t xml:space="preserve"> à l’embauche. Les travaux engagés avec Pôle emploi </w:t>
      </w:r>
      <w:r w:rsidR="005A0C11">
        <w:t xml:space="preserve">pour finaliser cette instruction </w:t>
      </w:r>
      <w:r w:rsidR="0007666B">
        <w:t>ont permis de présenter des informations très opérationnelles</w:t>
      </w:r>
      <w:r w:rsidR="005A0C11">
        <w:t>. L</w:t>
      </w:r>
      <w:r w:rsidR="0007666B">
        <w:t xml:space="preserve">e réseau Pôle emploi </w:t>
      </w:r>
      <w:r>
        <w:t>était</w:t>
      </w:r>
      <w:r w:rsidR="0007666B">
        <w:t xml:space="preserve"> mobilisé </w:t>
      </w:r>
      <w:r w:rsidR="005A0C11">
        <w:t xml:space="preserve">en amont de la sortie de cette instruction, </w:t>
      </w:r>
      <w:r w:rsidR="0007666B">
        <w:t xml:space="preserve">pour proposer et financer ces formations en amont des recrutements dans le secteur de la prise en charge des personnes âgées. </w:t>
      </w:r>
    </w:p>
    <w:p w14:paraId="792B8D99" w14:textId="24ADA1A6" w:rsidR="009F5780" w:rsidRDefault="009F5780" w:rsidP="00703E02">
      <w:r>
        <w:t xml:space="preserve">Les personnes qui bénéficieront de ces formations courtes, ainsi que les salariés qui les encadreront au cours de leurs stages, bénéficieront </w:t>
      </w:r>
      <w:r w:rsidR="007033C6" w:rsidRPr="007033C6">
        <w:t>d’une dispense d’épreu</w:t>
      </w:r>
      <w:r w:rsidR="005A0C11">
        <w:t>ve</w:t>
      </w:r>
      <w:r w:rsidR="007033C6" w:rsidRPr="007033C6">
        <w:t xml:space="preserve"> de sélection à l’entrée en formation d’accompagnant éducatif et social</w:t>
      </w:r>
      <w:r w:rsidR="007033C6">
        <w:t xml:space="preserve"> (AES)</w:t>
      </w:r>
      <w:r w:rsidR="007033C6" w:rsidRPr="007033C6">
        <w:t>.</w:t>
      </w:r>
    </w:p>
    <w:p w14:paraId="341F16DA" w14:textId="51284FFE" w:rsidR="00AD45B6" w:rsidRDefault="00C136C2" w:rsidP="00703E02">
      <w:r>
        <w:t xml:space="preserve">Nous n’avons </w:t>
      </w:r>
      <w:r w:rsidR="00AD45B6">
        <w:t>pas</w:t>
      </w:r>
      <w:r>
        <w:t xml:space="preserve"> d’éléments chiffrés à ce stade</w:t>
      </w:r>
      <w:r w:rsidR="00AD45B6">
        <w:t>. Les branches BASS</w:t>
      </w:r>
      <w:r w:rsidR="00AD45B6">
        <w:rPr>
          <w:rStyle w:val="Appelnotedebasdep"/>
        </w:rPr>
        <w:footnoteReference w:id="4"/>
      </w:r>
      <w:r w:rsidR="00AD45B6">
        <w:t xml:space="preserve"> et HP</w:t>
      </w:r>
      <w:r w:rsidR="00AD45B6">
        <w:rPr>
          <w:rStyle w:val="Appelnotedebasdep"/>
        </w:rPr>
        <w:footnoteReference w:id="5"/>
      </w:r>
      <w:r w:rsidR="00AD45B6">
        <w:t xml:space="preserve"> s’en saisissent très volontiers, ce d’autant que certaines fédérations</w:t>
      </w:r>
      <w:r w:rsidR="00034498">
        <w:t xml:space="preserve"> ou associations</w:t>
      </w:r>
      <w:r w:rsidR="00AD45B6">
        <w:t xml:space="preserve"> ont déjà développé des formations </w:t>
      </w:r>
      <w:proofErr w:type="spellStart"/>
      <w:r w:rsidR="00AD45B6">
        <w:t>professionnalisantes</w:t>
      </w:r>
      <w:proofErr w:type="spellEnd"/>
      <w:r w:rsidR="00AD45B6">
        <w:t xml:space="preserve"> correspondant à ce schéma (</w:t>
      </w:r>
      <w:r w:rsidR="00C70945">
        <w:t xml:space="preserve">Certificat </w:t>
      </w:r>
      <w:r>
        <w:t xml:space="preserve">Accompagnant en gérontologie, porté par la Croix rouge et </w:t>
      </w:r>
      <w:r w:rsidR="00C70945">
        <w:t xml:space="preserve">des GIP, </w:t>
      </w:r>
      <w:r w:rsidR="00034498">
        <w:t>FNAQPA</w:t>
      </w:r>
      <w:r w:rsidR="00034498">
        <w:rPr>
          <w:rStyle w:val="Appelnotedebasdep"/>
        </w:rPr>
        <w:footnoteReference w:id="6"/>
      </w:r>
      <w:r w:rsidR="00034498">
        <w:t xml:space="preserve">). La FHF indique pour sa part mobiliser depuis longtemps les ressources de Pôle emploi </w:t>
      </w:r>
      <w:r w:rsidR="005E45E9">
        <w:t xml:space="preserve">pour préparer ses recrutements. </w:t>
      </w:r>
    </w:p>
    <w:p w14:paraId="16E41434" w14:textId="77777777" w:rsidR="00875BF1" w:rsidRDefault="00875BF1" w:rsidP="00875BF1">
      <w:pPr>
        <w:pStyle w:val="Titre3"/>
      </w:pPr>
      <w:bookmarkStart w:id="4" w:name="_Toc77328907"/>
      <w:r>
        <w:t>2110 parcours qualifiants pour les nouveaux entrants</w:t>
      </w:r>
      <w:r w:rsidR="0007666B">
        <w:t xml:space="preserve"> et les </w:t>
      </w:r>
      <w:r w:rsidR="007033C6">
        <w:t>« </w:t>
      </w:r>
      <w:r w:rsidR="0007666B">
        <w:t>faisant-fonction</w:t>
      </w:r>
      <w:r w:rsidR="007033C6">
        <w:t> »</w:t>
      </w:r>
      <w:bookmarkEnd w:id="4"/>
      <w:r w:rsidR="0007666B">
        <w:t xml:space="preserve"> </w:t>
      </w:r>
    </w:p>
    <w:p w14:paraId="46E7DED7" w14:textId="77777777" w:rsidR="00703E02" w:rsidRDefault="00703E02" w:rsidP="0007172E">
      <w:r>
        <w:t xml:space="preserve">L’entrée accélérée de professionnels non qualifiés pour répondre à l’urgence imposait de sécuriser un accès à la qualification pour ces personnels et ceux qui, d’ores et déjà, assument de fait des </w:t>
      </w:r>
      <w:r w:rsidR="00967846">
        <w:t>fonctions</w:t>
      </w:r>
      <w:r>
        <w:t xml:space="preserve"> pour lesquels ils ne sont pas qualifiés. C’était une demande forte des employeurs pris par la nécessité de recruter et l’impératif de disposer d’intervenants dûment qualifiés. </w:t>
      </w:r>
      <w:r w:rsidR="003712E3">
        <w:t xml:space="preserve">La prise en charge de la rémunération des salariés </w:t>
      </w:r>
      <w:r w:rsidR="00967846">
        <w:t xml:space="preserve">était un point critique, car il </w:t>
      </w:r>
      <w:r w:rsidR="003712E3">
        <w:t xml:space="preserve">ouvre la possibilité d’assurer leur remplacement pendant des formations qui durent 12 mois. </w:t>
      </w:r>
    </w:p>
    <w:p w14:paraId="485CB0AD" w14:textId="0E7FEF06" w:rsidR="0007172E" w:rsidRDefault="00967846" w:rsidP="0007172E">
      <w:r>
        <w:t>Ainsi, l</w:t>
      </w:r>
      <w:r w:rsidR="00A074FB">
        <w:t xml:space="preserve">a ministre du Travail, accompagnée par la ministre déléguée à l’autonomie, </w:t>
      </w:r>
      <w:r w:rsidR="00E3553E">
        <w:t>a</w:t>
      </w:r>
      <w:r w:rsidR="00A074FB">
        <w:t xml:space="preserve"> annoncé le 30 mars </w:t>
      </w:r>
      <w:r w:rsidR="0007172E" w:rsidRPr="003712E3">
        <w:rPr>
          <w:b/>
        </w:rPr>
        <w:t xml:space="preserve">la prise en charge </w:t>
      </w:r>
      <w:r w:rsidR="00A074FB" w:rsidRPr="003712E3">
        <w:rPr>
          <w:b/>
        </w:rPr>
        <w:t xml:space="preserve">de </w:t>
      </w:r>
      <w:r w:rsidR="0007172E" w:rsidRPr="003712E3">
        <w:rPr>
          <w:b/>
        </w:rPr>
        <w:t>2210 parcours qualifiants (1000 AS et 1110 AES) intégrant les coûts pédagogiques, les frais annexes et la rémunération (soit 37K€ coût complet)</w:t>
      </w:r>
      <w:r w:rsidR="0007172E">
        <w:t> pour la période 2021-2022. Cela re</w:t>
      </w:r>
      <w:r w:rsidR="002C211B">
        <w:t>présente un montant global de 92</w:t>
      </w:r>
      <w:r w:rsidR="0007172E">
        <w:t>M€</w:t>
      </w:r>
      <w:r w:rsidR="002C211B">
        <w:t xml:space="preserve"> (78M€ par redéploiement des crédits promotion de l’alternance et 14M€ par redéploiement des </w:t>
      </w:r>
      <w:r w:rsidR="005D5BB2">
        <w:t>crédits plan de relance non utilisés par les régions pour ouvrir de nouvelles places de fo</w:t>
      </w:r>
      <w:r w:rsidR="008B2BD6">
        <w:t>r</w:t>
      </w:r>
      <w:r w:rsidR="005D5BB2">
        <w:t>mation)</w:t>
      </w:r>
      <w:r w:rsidR="005D5BB2">
        <w:rPr>
          <w:rStyle w:val="Appelnotedebasdep"/>
        </w:rPr>
        <w:footnoteReference w:id="7"/>
      </w:r>
      <w:r w:rsidR="0007172E">
        <w:t>.</w:t>
      </w:r>
      <w:r w:rsidR="00E3553E">
        <w:t xml:space="preserve"> Ces crédits seront mobilisables via la </w:t>
      </w:r>
      <w:proofErr w:type="spellStart"/>
      <w:r w:rsidR="00E3553E">
        <w:t>ProA</w:t>
      </w:r>
      <w:proofErr w:type="spellEnd"/>
      <w:r w:rsidR="00E3553E">
        <w:t xml:space="preserve"> par les OPCO. </w:t>
      </w:r>
      <w:r w:rsidR="005D5BB2">
        <w:t xml:space="preserve">La clôture des procédures d’inscription en IFAS a été différée de quelques semaines pour laisser le temps aux employeurs de positionner leurs salariés. </w:t>
      </w:r>
    </w:p>
    <w:p w14:paraId="26F2BD22" w14:textId="303D1132" w:rsidR="00F46246" w:rsidRDefault="0007172E" w:rsidP="007C2533">
      <w:r>
        <w:t xml:space="preserve">En parallèle, les administrations centrales (DGEFP, DGCS et DGT) ont accéléré les travaux préalables à </w:t>
      </w:r>
      <w:r w:rsidR="00F46246" w:rsidRPr="003712E3">
        <w:rPr>
          <w:b/>
        </w:rPr>
        <w:t xml:space="preserve">l’extension des accords </w:t>
      </w:r>
      <w:proofErr w:type="spellStart"/>
      <w:r w:rsidR="00F46246" w:rsidRPr="003712E3">
        <w:rPr>
          <w:b/>
        </w:rPr>
        <w:t>proA</w:t>
      </w:r>
      <w:proofErr w:type="spellEnd"/>
      <w:r w:rsidR="00F46246" w:rsidRPr="003712E3">
        <w:rPr>
          <w:b/>
        </w:rPr>
        <w:t xml:space="preserve"> </w:t>
      </w:r>
      <w:r w:rsidRPr="003712E3">
        <w:rPr>
          <w:b/>
        </w:rPr>
        <w:t xml:space="preserve">de la </w:t>
      </w:r>
      <w:r w:rsidR="00703E02" w:rsidRPr="003712E3">
        <w:rPr>
          <w:b/>
        </w:rPr>
        <w:t>Branche de l’aide à domicile (</w:t>
      </w:r>
      <w:r w:rsidR="00F46246" w:rsidRPr="003712E3">
        <w:rPr>
          <w:b/>
        </w:rPr>
        <w:t>BAD</w:t>
      </w:r>
      <w:r w:rsidR="00703E02" w:rsidRPr="003712E3">
        <w:rPr>
          <w:b/>
        </w:rPr>
        <w:t>)</w:t>
      </w:r>
      <w:r w:rsidR="00F46246">
        <w:t xml:space="preserve"> </w:t>
      </w:r>
      <w:r>
        <w:t>(</w:t>
      </w:r>
      <w:r w:rsidR="00703E02">
        <w:t xml:space="preserve">arrêté publié le 14 avril) </w:t>
      </w:r>
      <w:r w:rsidR="00F46246">
        <w:t xml:space="preserve">et </w:t>
      </w:r>
      <w:r w:rsidR="00703E02">
        <w:t xml:space="preserve">de </w:t>
      </w:r>
      <w:r w:rsidR="00703E02" w:rsidRPr="003712E3">
        <w:rPr>
          <w:b/>
        </w:rPr>
        <w:t>la branche de l’action sanitaire et sociale (</w:t>
      </w:r>
      <w:r w:rsidR="00F46246" w:rsidRPr="003712E3">
        <w:rPr>
          <w:b/>
        </w:rPr>
        <w:t>BASS</w:t>
      </w:r>
      <w:r w:rsidR="00703E02" w:rsidRPr="003712E3">
        <w:rPr>
          <w:b/>
        </w:rPr>
        <w:t>)</w:t>
      </w:r>
      <w:r w:rsidR="00703E02">
        <w:t xml:space="preserve"> (</w:t>
      </w:r>
      <w:r w:rsidR="007C2533">
        <w:t>arrêté du 22 mars 2021 publié au JO</w:t>
      </w:r>
      <w:r w:rsidR="00703E02">
        <w:t xml:space="preserve">). </w:t>
      </w:r>
    </w:p>
    <w:p w14:paraId="00D481F6" w14:textId="3DF1CF57" w:rsidR="00C70945" w:rsidRDefault="00C70945" w:rsidP="007C2533">
      <w:pPr>
        <w:rPr>
          <w:i/>
          <w:color w:val="FF0000"/>
        </w:rPr>
      </w:pPr>
      <w:r>
        <w:rPr>
          <w:i/>
          <w:color w:val="FF0000"/>
        </w:rPr>
        <w:t>Si la mobilisation de l’OPCO santé est forte, il semble que le dispositif sera davantage mobilisé en 2022 qu’il ne le sera en 2021. L’aide à domicile et les entreprises de service à la</w:t>
      </w:r>
      <w:r w:rsidR="008A3EB2">
        <w:rPr>
          <w:i/>
          <w:color w:val="FF0000"/>
        </w:rPr>
        <w:t xml:space="preserve"> personne s’en sont peu emparé</w:t>
      </w:r>
      <w:r>
        <w:rPr>
          <w:i/>
          <w:color w:val="FF0000"/>
        </w:rPr>
        <w:t xml:space="preserve"> à date. </w:t>
      </w:r>
    </w:p>
    <w:p w14:paraId="31C970D9" w14:textId="3AEB8B4D" w:rsidR="00C70945" w:rsidRPr="00C70945" w:rsidRDefault="00C70945" w:rsidP="007C2533">
      <w:pPr>
        <w:rPr>
          <w:i/>
          <w:color w:val="FF0000"/>
        </w:rPr>
      </w:pPr>
      <w:r>
        <w:rPr>
          <w:i/>
          <w:color w:val="FF0000"/>
        </w:rPr>
        <w:t xml:space="preserve">La communication sur les mesures mises en place et l’accompagnement de leur mobilisation </w:t>
      </w:r>
      <w:r w:rsidR="00621287">
        <w:rPr>
          <w:i/>
          <w:color w:val="FF0000"/>
        </w:rPr>
        <w:t>devraient</w:t>
      </w:r>
      <w:r>
        <w:rPr>
          <w:i/>
          <w:color w:val="FF0000"/>
        </w:rPr>
        <w:t xml:space="preserve"> être renforcées.</w:t>
      </w:r>
    </w:p>
    <w:p w14:paraId="494E847D" w14:textId="77777777" w:rsidR="0021267B" w:rsidRPr="0021267B" w:rsidRDefault="000D007C" w:rsidP="0021267B">
      <w:pPr>
        <w:pStyle w:val="Titre3"/>
      </w:pPr>
      <w:bookmarkStart w:id="5" w:name="_Toc77328908"/>
      <w:r>
        <w:lastRenderedPageBreak/>
        <w:t>Mise en visibilité de l’offre de formation</w:t>
      </w:r>
      <w:bookmarkEnd w:id="5"/>
    </w:p>
    <w:p w14:paraId="643D7FA8" w14:textId="5FCC1821" w:rsidR="00CA291B" w:rsidRDefault="00C70945" w:rsidP="00875BF1">
      <w:r>
        <w:t xml:space="preserve">Myriam El </w:t>
      </w:r>
      <w:proofErr w:type="spellStart"/>
      <w:r>
        <w:t>Khomri</w:t>
      </w:r>
      <w:proofErr w:type="spellEnd"/>
      <w:r>
        <w:rPr>
          <w:rStyle w:val="Appelnotedebasdep"/>
        </w:rPr>
        <w:footnoteReference w:id="8"/>
      </w:r>
      <w:r>
        <w:t xml:space="preserve"> propose dans son rapport, </w:t>
      </w:r>
      <w:r w:rsidR="007A22AA">
        <w:t>mesure 24</w:t>
      </w:r>
      <w:r>
        <w:t>,</w:t>
      </w:r>
      <w:r w:rsidR="007A22AA">
        <w:t xml:space="preserve"> </w:t>
      </w:r>
      <w:r w:rsidR="00CA291B">
        <w:t xml:space="preserve">de développer un applicatif comparable à </w:t>
      </w:r>
      <w:proofErr w:type="spellStart"/>
      <w:r w:rsidR="00CA291B">
        <w:t>Parcoursup</w:t>
      </w:r>
      <w:proofErr w:type="spellEnd"/>
      <w:r w:rsidR="00CA291B">
        <w:t xml:space="preserve"> pour les formations infra-bac AS et AES. L’intégration des IFSI sur </w:t>
      </w:r>
      <w:proofErr w:type="spellStart"/>
      <w:r w:rsidR="00CA291B">
        <w:t>Parcoursup</w:t>
      </w:r>
      <w:proofErr w:type="spellEnd"/>
      <w:r w:rsidR="00CA291B">
        <w:t xml:space="preserve"> a en effet </w:t>
      </w:r>
      <w:r w:rsidR="00926C78">
        <w:t xml:space="preserve">si bien </w:t>
      </w:r>
      <w:r w:rsidR="00CA291B">
        <w:t>réglé le problème des places vacantes</w:t>
      </w:r>
      <w:r w:rsidR="00926C78">
        <w:t xml:space="preserve"> dans ces instituts</w:t>
      </w:r>
      <w:r w:rsidR="00CA291B">
        <w:t xml:space="preserve">, </w:t>
      </w:r>
      <w:r w:rsidR="00926C78">
        <w:t xml:space="preserve">qu’il </w:t>
      </w:r>
      <w:r w:rsidR="00CA291B">
        <w:t xml:space="preserve">a conduit à susciter des candidatures en surnombre. </w:t>
      </w:r>
    </w:p>
    <w:p w14:paraId="26573E7A" w14:textId="0076EB77" w:rsidR="00B360B1" w:rsidRDefault="00CA291B" w:rsidP="00875BF1">
      <w:r>
        <w:t xml:space="preserve">Il y a donc un enjeu à mettre en visibilité </w:t>
      </w:r>
      <w:r w:rsidR="00926C78">
        <w:t>l’</w:t>
      </w:r>
      <w:r>
        <w:t>offre de formation</w:t>
      </w:r>
      <w:r w:rsidR="00926C78">
        <w:t xml:space="preserve"> pour devenir AS et AES</w:t>
      </w:r>
      <w:r>
        <w:t xml:space="preserve">, auprès des jeunes (y compris les recalés des IFSI), comme des personnes en reconversion. </w:t>
      </w:r>
      <w:r w:rsidR="00036707">
        <w:t>L</w:t>
      </w:r>
      <w:r w:rsidR="00716B28">
        <w:t xml:space="preserve">’objectif </w:t>
      </w:r>
      <w:r w:rsidR="00036707">
        <w:t xml:space="preserve">dans un premier temps </w:t>
      </w:r>
      <w:r>
        <w:t xml:space="preserve">consiste à </w:t>
      </w:r>
      <w:r w:rsidR="0056745D">
        <w:t>rendre visible « l’offre vivante » de formation</w:t>
      </w:r>
      <w:r w:rsidR="00B360B1">
        <w:t>, c’est-à-dire les places disponibles en temps réel</w:t>
      </w:r>
      <w:r w:rsidR="00880865">
        <w:t xml:space="preserve">. </w:t>
      </w:r>
    </w:p>
    <w:p w14:paraId="6D33DA24" w14:textId="4AB94236" w:rsidR="00C70945" w:rsidRDefault="00C70945" w:rsidP="00875BF1">
      <w:r>
        <w:t xml:space="preserve">Le groupe de travail dédié </w:t>
      </w:r>
      <w:r w:rsidR="00602805">
        <w:t xml:space="preserve">a finalisé </w:t>
      </w:r>
      <w:r>
        <w:t>une note d’arbitrage pour le développement d’une plateforme numérique qui aura vocation à conduire</w:t>
      </w:r>
      <w:r w:rsidR="007C1E37">
        <w:t>,</w:t>
      </w:r>
      <w:r>
        <w:t xml:space="preserve"> en quelques clics</w:t>
      </w:r>
      <w:r w:rsidR="007C1E37">
        <w:t>,</w:t>
      </w:r>
      <w:r>
        <w:t xml:space="preserve"> le visiteur </w:t>
      </w:r>
      <w:r w:rsidR="007C1E37">
        <w:t xml:space="preserve">à </w:t>
      </w:r>
      <w:r>
        <w:t>formule</w:t>
      </w:r>
      <w:r w:rsidR="007C1E37">
        <w:t>r</w:t>
      </w:r>
      <w:r>
        <w:t xml:space="preserve"> une demande de rappel auprès d’un institut vers lequel il aura été guidé</w:t>
      </w:r>
      <w:r w:rsidR="007C1E37">
        <w:t xml:space="preserve">. Nous adressant à une population de faible niveau scolaire et peu à l’aise avec le numérique, l’option consistant à renvoyer vers d’autres sites a été abandonnée au profit d’une plateforme qui cherchera à « capter » le futur apprenant. Les associations d’instituts et la Croix rouge sollicités sont très mobilisés sur ce projet, bien conscients que cela représentera un engagement de la part des instituts, mais aussi des bénéfices attendus. </w:t>
      </w:r>
    </w:p>
    <w:p w14:paraId="402DE77C" w14:textId="5A21F270" w:rsidR="00B569BF" w:rsidRDefault="00B569BF" w:rsidP="00875BF1">
      <w:r>
        <w:t xml:space="preserve">Pour produire ses effets, la plateforme nécessitera 2 personnes : une pour gérer les contenus et les liens avec les instituts, l’autre pour générer du trafic vers la plateforme, avec des partenariats avec les autres plateformes et de la communication sur les réseaux sociaux. </w:t>
      </w:r>
    </w:p>
    <w:p w14:paraId="0D08F1B3" w14:textId="4F3D4807" w:rsidR="007C1E37" w:rsidRPr="007C1E37" w:rsidRDefault="007C1E37" w:rsidP="00875BF1">
      <w:pPr>
        <w:rPr>
          <w:i/>
          <w:color w:val="FF0000"/>
        </w:rPr>
      </w:pPr>
      <w:r>
        <w:rPr>
          <w:i/>
          <w:color w:val="FF0000"/>
        </w:rPr>
        <w:t xml:space="preserve">La note </w:t>
      </w:r>
      <w:r w:rsidR="00B569BF">
        <w:rPr>
          <w:i/>
          <w:color w:val="FF0000"/>
        </w:rPr>
        <w:t>est</w:t>
      </w:r>
      <w:r>
        <w:rPr>
          <w:i/>
          <w:color w:val="FF0000"/>
        </w:rPr>
        <w:t xml:space="preserve"> transmise au cabinet du Premier ministre.</w:t>
      </w:r>
      <w:r w:rsidR="00B569BF">
        <w:rPr>
          <w:i/>
          <w:color w:val="FF0000"/>
        </w:rPr>
        <w:t xml:space="preserve"> Le lancement des travaux à la rentrée serait optimal pour préparer la rentrée de janvier. Cela suppose que l’arbitrage soit pris rapidement pour solliciter la DNUM et constituer l’équipe de développement.</w:t>
      </w:r>
      <w:r>
        <w:rPr>
          <w:i/>
          <w:color w:val="FF0000"/>
        </w:rPr>
        <w:t xml:space="preserve"> </w:t>
      </w:r>
    </w:p>
    <w:p w14:paraId="5832CFE5" w14:textId="77777777" w:rsidR="00875BF1" w:rsidRDefault="00875BF1" w:rsidP="00875BF1">
      <w:pPr>
        <w:pStyle w:val="Titre2"/>
      </w:pPr>
      <w:bookmarkStart w:id="6" w:name="_Toc77328909"/>
      <w:r>
        <w:t xml:space="preserve">Développer structurellement l’offre de formation pour répondre aux </w:t>
      </w:r>
      <w:r w:rsidR="00133FBB">
        <w:t>besoins de demain</w:t>
      </w:r>
      <w:bookmarkEnd w:id="6"/>
    </w:p>
    <w:p w14:paraId="305E6CB8" w14:textId="77777777" w:rsidR="00860124" w:rsidRPr="00860124" w:rsidRDefault="00860124" w:rsidP="00860124">
      <w:r>
        <w:t xml:space="preserve">Le gouvernement s’est engagé à développer l’offre de formation pour augmenter les volumes de professionnels qualifiés. Il s’agit </w:t>
      </w:r>
      <w:r w:rsidR="006B2C5A">
        <w:t xml:space="preserve">également de créer les conditions d’un développement durable de l’apprentissage dans le secteur sanitaire et médico-social pour attirer en plus grand nombre de jeunes professionnels. </w:t>
      </w:r>
    </w:p>
    <w:p w14:paraId="317D913B" w14:textId="77777777" w:rsidR="00875BF1" w:rsidRDefault="00875BF1" w:rsidP="00875BF1">
      <w:pPr>
        <w:pStyle w:val="Titre3"/>
      </w:pPr>
      <w:bookmarkStart w:id="7" w:name="_Toc77328910"/>
      <w:r>
        <w:t xml:space="preserve">16 000 </w:t>
      </w:r>
      <w:r w:rsidR="00B360B1">
        <w:t xml:space="preserve">places </w:t>
      </w:r>
      <w:r w:rsidR="00860124">
        <w:t>pour augmenter les volumes</w:t>
      </w:r>
      <w:r w:rsidR="00B360B1">
        <w:t xml:space="preserve"> </w:t>
      </w:r>
      <w:r>
        <w:t xml:space="preserve">d’infirmiers, </w:t>
      </w:r>
      <w:r w:rsidR="00133FBB">
        <w:t>d’</w:t>
      </w:r>
      <w:r>
        <w:t xml:space="preserve">aides-soignants et </w:t>
      </w:r>
      <w:r w:rsidR="004579A6">
        <w:t>d’accompagnants éducatifs et sociaux</w:t>
      </w:r>
      <w:bookmarkEnd w:id="7"/>
    </w:p>
    <w:p w14:paraId="6065749E" w14:textId="77777777" w:rsidR="007C1E37" w:rsidRDefault="00B360B1" w:rsidP="00D953D1">
      <w:r>
        <w:t>L’Etat a annoncé le financement de ces 16</w:t>
      </w:r>
      <w:r w:rsidR="00880865">
        <w:t> </w:t>
      </w:r>
      <w:r>
        <w:t>000</w:t>
      </w:r>
      <w:r w:rsidR="00880865">
        <w:t xml:space="preserve"> nouvelles</w:t>
      </w:r>
      <w:r>
        <w:t xml:space="preserve"> places financées sur le plan de relance</w:t>
      </w:r>
      <w:r w:rsidR="00860124">
        <w:t xml:space="preserve"> et a confié à </w:t>
      </w:r>
      <w:r>
        <w:t xml:space="preserve">Stéphane Le Bouler </w:t>
      </w:r>
      <w:r w:rsidR="00860124">
        <w:t xml:space="preserve">la mission de négocier leur répartition </w:t>
      </w:r>
      <w:r>
        <w:t>avec les régions</w:t>
      </w:r>
      <w:r w:rsidR="00860124">
        <w:t xml:space="preserve">. Ce sont </w:t>
      </w:r>
      <w:r w:rsidRPr="00B360B1">
        <w:t>12</w:t>
      </w:r>
      <w:r>
        <w:t> </w:t>
      </w:r>
      <w:r w:rsidRPr="00B360B1">
        <w:t>515</w:t>
      </w:r>
      <w:r>
        <w:t xml:space="preserve"> places</w:t>
      </w:r>
      <w:r w:rsidR="00A72EAB">
        <w:t xml:space="preserve"> </w:t>
      </w:r>
      <w:r w:rsidR="00860124">
        <w:t xml:space="preserve">de formation qualifiantes qui seront ouvertes d’ici </w:t>
      </w:r>
      <w:r w:rsidR="00A72EAB">
        <w:t>2022.</w:t>
      </w:r>
      <w:r w:rsidR="00036707">
        <w:t xml:space="preserve"> </w:t>
      </w:r>
    </w:p>
    <w:p w14:paraId="39395BBA" w14:textId="76E3A4B9" w:rsidR="00D953D1" w:rsidRDefault="00036707" w:rsidP="00D953D1">
      <w:r w:rsidRPr="00B67609">
        <w:rPr>
          <w:i/>
          <w:color w:val="FF0000"/>
        </w:rPr>
        <w:t xml:space="preserve">Les conventions avec les régions </w:t>
      </w:r>
      <w:r w:rsidR="007C1E37">
        <w:rPr>
          <w:i/>
          <w:color w:val="FF0000"/>
        </w:rPr>
        <w:t xml:space="preserve">finiront </w:t>
      </w:r>
      <w:r w:rsidRPr="00B67609">
        <w:rPr>
          <w:i/>
          <w:color w:val="FF0000"/>
        </w:rPr>
        <w:t>d’être signées</w:t>
      </w:r>
      <w:r w:rsidR="00426758">
        <w:rPr>
          <w:i/>
          <w:color w:val="FF0000"/>
        </w:rPr>
        <w:t xml:space="preserve"> en octobre. Un SharePoint va permettre de procéder au suivi physico-financer des ouvertures de places. </w:t>
      </w:r>
      <w:r w:rsidR="00A369B8">
        <w:rPr>
          <w:i/>
          <w:color w:val="FF0000"/>
        </w:rPr>
        <w:t xml:space="preserve">Les premiers résultats en terme de places effectivement créées devraient nous parvenir fin juillet et mi-octobre pour connaitre combien sont occupées.  </w:t>
      </w:r>
    </w:p>
    <w:p w14:paraId="6880B97F" w14:textId="20E631A1" w:rsidR="0009404E" w:rsidRDefault="0009404E" w:rsidP="0009404E">
      <w:pPr>
        <w:pStyle w:val="Titre3"/>
      </w:pPr>
      <w:bookmarkStart w:id="8" w:name="_Toc77328911"/>
      <w:r>
        <w:t>Réécriture des référentiels AS et AES</w:t>
      </w:r>
      <w:r w:rsidR="006422F1">
        <w:t xml:space="preserve"> adaptés à l’alternance et aux enseignements à distance</w:t>
      </w:r>
      <w:bookmarkEnd w:id="8"/>
    </w:p>
    <w:p w14:paraId="2D592F8E" w14:textId="39EBCF76" w:rsidR="00B833B4" w:rsidRPr="00FF5D6B" w:rsidRDefault="001464F4" w:rsidP="0009404E">
      <w:pPr>
        <w:rPr>
          <w:i/>
          <w:color w:val="FF0000"/>
        </w:rPr>
      </w:pPr>
      <w:r w:rsidRPr="00A369B8">
        <w:t>Le</w:t>
      </w:r>
      <w:r w:rsidR="00A369B8">
        <w:t>s</w:t>
      </w:r>
      <w:r w:rsidRPr="00A369B8">
        <w:t xml:space="preserve"> référentiel</w:t>
      </w:r>
      <w:r w:rsidR="00A369B8">
        <w:t xml:space="preserve">s AS et </w:t>
      </w:r>
      <w:r w:rsidRPr="00A369B8">
        <w:t xml:space="preserve">AP </w:t>
      </w:r>
      <w:r w:rsidR="00A369B8">
        <w:t xml:space="preserve">ont été </w:t>
      </w:r>
      <w:r w:rsidR="007033C6" w:rsidRPr="00A369B8">
        <w:t xml:space="preserve">publiés </w:t>
      </w:r>
      <w:r w:rsidR="00A369B8">
        <w:t>le 12 juin</w:t>
      </w:r>
      <w:r w:rsidR="007033C6" w:rsidRPr="00A369B8">
        <w:t>.</w:t>
      </w:r>
      <w:r w:rsidRPr="00A369B8">
        <w:t xml:space="preserve"> </w:t>
      </w:r>
      <w:r w:rsidRPr="00FF5D6B">
        <w:rPr>
          <w:i/>
          <w:color w:val="FF0000"/>
        </w:rPr>
        <w:t xml:space="preserve">Le référentiel AES ne le sera vraisemblablement que </w:t>
      </w:r>
      <w:r w:rsidR="00405245">
        <w:rPr>
          <w:i/>
          <w:color w:val="FF0000"/>
        </w:rPr>
        <w:t>fin</w:t>
      </w:r>
      <w:r w:rsidR="00A369B8" w:rsidRPr="00FF5D6B">
        <w:rPr>
          <w:i/>
          <w:color w:val="FF0000"/>
        </w:rPr>
        <w:t xml:space="preserve"> juillet</w:t>
      </w:r>
      <w:r w:rsidR="00405245">
        <w:rPr>
          <w:i/>
          <w:color w:val="FF0000"/>
        </w:rPr>
        <w:t xml:space="preserve"> (mise en signature le 7 juillet)</w:t>
      </w:r>
      <w:r w:rsidRPr="00FF5D6B">
        <w:rPr>
          <w:i/>
          <w:color w:val="FF0000"/>
        </w:rPr>
        <w:t xml:space="preserve">. </w:t>
      </w:r>
      <w:r w:rsidR="007033C6" w:rsidRPr="00FF5D6B">
        <w:rPr>
          <w:i/>
          <w:color w:val="FF0000"/>
        </w:rPr>
        <w:t xml:space="preserve"> </w:t>
      </w:r>
    </w:p>
    <w:p w14:paraId="51821C13" w14:textId="5EA967A2" w:rsidR="003E63BE" w:rsidRPr="00911D4D" w:rsidRDefault="0009404E" w:rsidP="0009404E">
      <w:r>
        <w:t>R</w:t>
      </w:r>
      <w:r w:rsidR="00771338">
        <w:t xml:space="preserve">édigés par </w:t>
      </w:r>
      <w:r w:rsidR="0021267B">
        <w:t>bloc</w:t>
      </w:r>
      <w:r w:rsidR="00771338">
        <w:t>s</w:t>
      </w:r>
      <w:r w:rsidR="0021267B">
        <w:t xml:space="preserve"> de compétence</w:t>
      </w:r>
      <w:r w:rsidR="00771338">
        <w:t>s</w:t>
      </w:r>
      <w:r w:rsidR="0021267B">
        <w:t>,</w:t>
      </w:r>
      <w:r w:rsidR="00880865">
        <w:t xml:space="preserve"> ces référentiels assouplissent les conditions de réalisation des stages. Ils intègrent pleinemen</w:t>
      </w:r>
      <w:r w:rsidR="003E63BE">
        <w:t>t la formation en apprentissage</w:t>
      </w:r>
      <w:r w:rsidR="00911D4D">
        <w:t>.</w:t>
      </w:r>
      <w:r w:rsidR="003E63BE">
        <w:t xml:space="preserve"> </w:t>
      </w:r>
      <w:r w:rsidR="00911D4D" w:rsidRPr="00FF5D6B">
        <w:t>L</w:t>
      </w:r>
      <w:r w:rsidR="003E63BE" w:rsidRPr="00FF5D6B">
        <w:t xml:space="preserve">a partie réglementaire </w:t>
      </w:r>
      <w:r w:rsidR="00FF5D6B">
        <w:t>précise</w:t>
      </w:r>
      <w:r w:rsidR="003E63BE" w:rsidRPr="00FF5D6B">
        <w:t xml:space="preserve"> </w:t>
      </w:r>
      <w:r w:rsidR="003E63BE" w:rsidRPr="00FF5D6B">
        <w:lastRenderedPageBreak/>
        <w:t xml:space="preserve">explicitement que le rythme de travail de l’apprenti doit satisfaire l’attente légitime de l’employeur de disposer d’une force de travail croissante </w:t>
      </w:r>
      <w:r w:rsidR="00911D4D" w:rsidRPr="00FF5D6B">
        <w:t>de la part de ce salarié en formation.</w:t>
      </w:r>
      <w:r w:rsidR="00911D4D" w:rsidRPr="006B2C5A">
        <w:rPr>
          <w:color w:val="FF0000"/>
        </w:rPr>
        <w:t xml:space="preserve"> </w:t>
      </w:r>
      <w:r w:rsidR="00911D4D">
        <w:t xml:space="preserve">Les instituts de formation doivent être sensibilisés et accompagnés en ce sens (cf. </w:t>
      </w:r>
      <w:r w:rsidR="00911D4D">
        <w:rPr>
          <w:i/>
        </w:rPr>
        <w:t>infra</w:t>
      </w:r>
      <w:r w:rsidR="00911D4D">
        <w:t xml:space="preserve"> </w:t>
      </w:r>
      <w:r w:rsidR="00A738D3">
        <w:t>1.2.3</w:t>
      </w:r>
      <w:r w:rsidR="00911D4D">
        <w:t xml:space="preserve">.3.). </w:t>
      </w:r>
    </w:p>
    <w:p w14:paraId="077BD54E" w14:textId="225D8651" w:rsidR="006422F1" w:rsidRDefault="00FF5D6B" w:rsidP="0009404E">
      <w:r>
        <w:t>L’arrêté</w:t>
      </w:r>
      <w:r w:rsidR="006B2C5A">
        <w:t xml:space="preserve"> </w:t>
      </w:r>
      <w:r>
        <w:t>du 12 juin 2021 autorise</w:t>
      </w:r>
      <w:r w:rsidR="00880865">
        <w:t xml:space="preserve"> la </w:t>
      </w:r>
      <w:r w:rsidR="00542EEC">
        <w:t>réalisation à distance</w:t>
      </w:r>
      <w:r w:rsidR="00880865">
        <w:t xml:space="preserve"> </w:t>
      </w:r>
      <w:r w:rsidR="00B833B4">
        <w:t xml:space="preserve">de la </w:t>
      </w:r>
      <w:r w:rsidR="00542EEC">
        <w:t>formation théorique</w:t>
      </w:r>
      <w:r>
        <w:t xml:space="preserve"> (70% maximum)</w:t>
      </w:r>
      <w:r w:rsidR="00B833B4">
        <w:t xml:space="preserve">. </w:t>
      </w:r>
    </w:p>
    <w:p w14:paraId="78F6A2CB" w14:textId="52A05FC4" w:rsidR="00FF5D6B" w:rsidRDefault="00FF5D6B" w:rsidP="0009404E">
      <w:r>
        <w:t xml:space="preserve">Les périodes de stages professionnels incluent obligatoirement pour les AS une période auprès de personnes en situation de handicap et une période auprès de personnes âgées. </w:t>
      </w:r>
    </w:p>
    <w:p w14:paraId="34B2C0FE" w14:textId="77777777" w:rsidR="00880865" w:rsidRDefault="006422F1" w:rsidP="0009404E">
      <w:r>
        <w:t>Enfin, pour les formations paramédicales, l</w:t>
      </w:r>
      <w:r w:rsidR="007928DB">
        <w:t>es apprentis ou apprenants ayant déjà validé une partie de la formation pourront bénéficier d’allègement</w:t>
      </w:r>
      <w:r w:rsidR="006B2C5A">
        <w:t>s</w:t>
      </w:r>
      <w:r w:rsidR="007928DB">
        <w:t xml:space="preserve"> de formation et des parcours partiels pourront être engagés à tout moment de l’année</w:t>
      </w:r>
      <w:r w:rsidR="007928DB">
        <w:rPr>
          <w:rStyle w:val="Appelnotedebasdep"/>
        </w:rPr>
        <w:footnoteReference w:id="9"/>
      </w:r>
      <w:r w:rsidR="009F5780">
        <w:t xml:space="preserve">. </w:t>
      </w:r>
    </w:p>
    <w:p w14:paraId="48A297D4" w14:textId="77777777" w:rsidR="00F90464" w:rsidRDefault="00F90464" w:rsidP="00F90464">
      <w:pPr>
        <w:pStyle w:val="Titre3"/>
      </w:pPr>
      <w:bookmarkStart w:id="9" w:name="_Toc77328912"/>
      <w:r>
        <w:t xml:space="preserve">Création des conditions pour </w:t>
      </w:r>
      <w:r w:rsidR="00F95D7D">
        <w:t xml:space="preserve">un </w:t>
      </w:r>
      <w:r>
        <w:t xml:space="preserve">développement </w:t>
      </w:r>
      <w:r w:rsidR="00F95D7D">
        <w:t xml:space="preserve">structurel </w:t>
      </w:r>
      <w:r>
        <w:t>de l’apprentissage dans le médico-social et le sanitaire</w:t>
      </w:r>
      <w:bookmarkEnd w:id="9"/>
    </w:p>
    <w:p w14:paraId="20A78BC4" w14:textId="13D523A3" w:rsidR="00F90464" w:rsidRDefault="002A4356" w:rsidP="00F90464">
      <w:r>
        <w:t>Paradoxalement, alors que les formations paramédicales comportent des temps de stage importants, c</w:t>
      </w:r>
      <w:r w:rsidR="00F90464">
        <w:t xml:space="preserve">es secteurs d’activité sont traditionnellement peu consommateurs d’alternance. Les mesures incitatives du plan </w:t>
      </w:r>
      <w:r w:rsidR="00F90464" w:rsidRPr="00405245">
        <w:rPr>
          <w:i/>
        </w:rPr>
        <w:t>#1jeune1solution</w:t>
      </w:r>
      <w:r w:rsidR="00F90464">
        <w:t xml:space="preserve"> ont per</w:t>
      </w:r>
      <w:r w:rsidR="00E75871">
        <w:t>mis d’amorcer un développement. Ainsi</w:t>
      </w:r>
      <w:r w:rsidR="00E62CFA">
        <w:t xml:space="preserve"> en 2020</w:t>
      </w:r>
      <w:r w:rsidR="00E75871">
        <w:t>, près de 6900 contrats ont été signés dans le périmètre</w:t>
      </w:r>
      <w:r w:rsidR="006B2C5A">
        <w:t xml:space="preserve"> de l’OPCO santé, soit 3 fois son </w:t>
      </w:r>
      <w:r w:rsidR="00E75871">
        <w:t>objectif initial. Près de 1900</w:t>
      </w:r>
      <w:r w:rsidR="006B2C5A">
        <w:t xml:space="preserve"> </w:t>
      </w:r>
      <w:r w:rsidR="005D2FEE">
        <w:t>recrutements en apprentissage</w:t>
      </w:r>
      <w:r w:rsidR="00E75871">
        <w:t xml:space="preserve"> ont été </w:t>
      </w:r>
      <w:r w:rsidR="005D2FEE">
        <w:t>réalisés</w:t>
      </w:r>
      <w:r w:rsidR="00E75871">
        <w:t xml:space="preserve"> par les employeurs de l’hospitalisation privée et près de 4700 dans le secteur social et médico-social. </w:t>
      </w:r>
      <w:r w:rsidR="00FC453B">
        <w:t xml:space="preserve">Sur les 6900 contrats d’apprentissage, près de 2000 l’ont été pour des niveaux 3, dont 540 AES et 470 AS. </w:t>
      </w:r>
    </w:p>
    <w:p w14:paraId="56A99952" w14:textId="77777777" w:rsidR="00E75871" w:rsidRDefault="00E75871" w:rsidP="00F90464">
      <w:r>
        <w:t xml:space="preserve">Les entreprises du domicile ont </w:t>
      </w:r>
      <w:r w:rsidR="006B2C5A">
        <w:t>signé</w:t>
      </w:r>
      <w:r>
        <w:t xml:space="preserve"> pour leur part 4</w:t>
      </w:r>
      <w:r w:rsidR="002A4356">
        <w:t> </w:t>
      </w:r>
      <w:r w:rsidR="006B2C5A">
        <w:t>150 contrats (</w:t>
      </w:r>
      <w:r>
        <w:t>dont 22% dans le secteur grand âge</w:t>
      </w:r>
      <w:r w:rsidR="006B2C5A">
        <w:t>)</w:t>
      </w:r>
      <w:r w:rsidR="00823788">
        <w:t xml:space="preserve">, pour 61 contrats en 2019 ! Enfin, les employeurs de la BAD ont réalisé 810 contrats en 2020, pour 240 en 2019. </w:t>
      </w:r>
    </w:p>
    <w:p w14:paraId="436BC4B1" w14:textId="77777777" w:rsidR="00823788" w:rsidRDefault="00823788" w:rsidP="00F90464">
      <w:r>
        <w:t xml:space="preserve">La prolongation des aides exceptionnelles à l’embauche jusqu’à la fin de l’année </w:t>
      </w:r>
      <w:r w:rsidR="00312851">
        <w:t xml:space="preserve">augure d’une poursuite de ce développement. Il s’agit de créer les conditions d’un développement structurel et durable de l’apprentissage pour contribuer à former massivement des professionnels dans le secteur. </w:t>
      </w:r>
    </w:p>
    <w:p w14:paraId="18659557" w14:textId="77777777" w:rsidR="0052021F" w:rsidRDefault="0052021F" w:rsidP="0052021F">
      <w:pPr>
        <w:pStyle w:val="Titre4"/>
      </w:pPr>
      <w:r>
        <w:t>Prolongation des aides à l’embauche des apprentis par les employeurs privés</w:t>
      </w:r>
    </w:p>
    <w:p w14:paraId="0C1EF8AF" w14:textId="77777777" w:rsidR="0052021F" w:rsidRPr="0071303D" w:rsidRDefault="0071303D" w:rsidP="00F90464">
      <w:r>
        <w:rPr>
          <w:b/>
        </w:rPr>
        <w:t xml:space="preserve">Le décret n°2021-363 du 31 mars 2021 prolonge et modifie les aides exceptionnelles attribuées, notamment, pour le recrutement des apprentis. </w:t>
      </w:r>
      <w:r>
        <w:t>Outre l’intérêt en soi du prolongement de l’aide, ce décret prévoit, pour les employeurs de plus de 250 salariés, un ajustement des dates d’appréciation de</w:t>
      </w:r>
      <w:r w:rsidR="00024FC3">
        <w:t xml:space="preserve"> la réalisation de</w:t>
      </w:r>
      <w:r>
        <w:t>s quota</w:t>
      </w:r>
      <w:r w:rsidR="00024FC3">
        <w:t>s</w:t>
      </w:r>
      <w:r>
        <w:t xml:space="preserve"> d’alternants</w:t>
      </w:r>
      <w:r w:rsidR="00024FC3">
        <w:t xml:space="preserve"> qui conditionnent l’aide</w:t>
      </w:r>
      <w:r w:rsidR="002A4356">
        <w:t xml:space="preserve">. C’est une véritable avancée pour les employeurs du secteur, encore peu engagés dans l’alternance, qui sont maintenant mieux en situation de satisfaire à ces conditions, disposant de plus de temps pour </w:t>
      </w:r>
      <w:r w:rsidR="00024FC3">
        <w:t xml:space="preserve">recruter des volumes d’apprentis </w:t>
      </w:r>
      <w:r w:rsidR="002A4356">
        <w:t xml:space="preserve">(31 décembre 2022). </w:t>
      </w:r>
    </w:p>
    <w:p w14:paraId="1B370F65" w14:textId="77777777" w:rsidR="004579A6" w:rsidRDefault="004579A6" w:rsidP="004579A6">
      <w:pPr>
        <w:pStyle w:val="Titre4"/>
      </w:pPr>
      <w:r>
        <w:t>Sortie des places d’apprentissage des quotas et autres ouvertures réglementaires</w:t>
      </w:r>
    </w:p>
    <w:p w14:paraId="2A56438D" w14:textId="43737776" w:rsidR="0021267B" w:rsidRDefault="009F5780" w:rsidP="00542EEC">
      <w:r>
        <w:rPr>
          <w:b/>
        </w:rPr>
        <w:t>L’</w:t>
      </w:r>
      <w:r w:rsidR="00542EEC" w:rsidRPr="00F90464">
        <w:rPr>
          <w:b/>
        </w:rPr>
        <w:t>arrêté du 12 avril 2021 portant diverses modifications relatives aux conditions d’accès aux formations conduisant aux diplômes d’Etat d’aide-soignant et d’auxiliaire de puériculture</w:t>
      </w:r>
      <w:r w:rsidR="00542EEC">
        <w:t xml:space="preserve"> sort les places d’apprentissage des quotas de formation arrêtés par les régions. Ainsi, celles-ci continuent à autoriser les instituts de formation </w:t>
      </w:r>
      <w:r w:rsidR="00312851">
        <w:t>des profession</w:t>
      </w:r>
      <w:r w:rsidR="007033C6">
        <w:t>nel</w:t>
      </w:r>
      <w:r w:rsidR="00312851">
        <w:t>s du soin</w:t>
      </w:r>
      <w:r w:rsidR="00542EEC">
        <w:t xml:space="preserve"> à exercer pour un nombre de places déterminé, mais les places en apprentissage et en VAE pourront </w:t>
      </w:r>
      <w:r w:rsidR="00312851">
        <w:t>être développées</w:t>
      </w:r>
      <w:r w:rsidR="00542EEC">
        <w:t xml:space="preserve"> en plus</w:t>
      </w:r>
      <w:r w:rsidR="00312851">
        <w:t xml:space="preserve"> (article 12)</w:t>
      </w:r>
      <w:r w:rsidR="00542EEC">
        <w:t xml:space="preserve">. </w:t>
      </w:r>
      <w:r w:rsidR="00312851">
        <w:t>Ce texte contraint les instituts à réaliser 2 rentrées par an, et les autorise explicitement à aller au-delà</w:t>
      </w:r>
      <w:r w:rsidR="007928DB">
        <w:t xml:space="preserve">. </w:t>
      </w:r>
      <w:r w:rsidR="007033C6">
        <w:t xml:space="preserve">Il prévoit également la réalisation de parcours partiels et la possibilité d’ouvrir des cessions à tout moment de l’année pour les mettre en œuvre. </w:t>
      </w:r>
    </w:p>
    <w:p w14:paraId="4A6A31FE" w14:textId="77777777" w:rsidR="007033C6" w:rsidRDefault="007033C6" w:rsidP="00542EEC">
      <w:r>
        <w:lastRenderedPageBreak/>
        <w:t xml:space="preserve">Enfin, </w:t>
      </w:r>
      <w:r w:rsidR="00567F8D">
        <w:t xml:space="preserve">l’article 10 nouveau </w:t>
      </w:r>
      <w:r>
        <w:t xml:space="preserve">prévoit que les apprentis ayant déjà signé leur contrat de travail </w:t>
      </w:r>
      <w:r w:rsidR="00567F8D">
        <w:t xml:space="preserve">ou disposant d’un document prouvant leur engagement réciproque avec leur employeur, soient dispensés de la procédure de sélection mise en place par l’institut. </w:t>
      </w:r>
    </w:p>
    <w:p w14:paraId="1264B6CF" w14:textId="020E192E" w:rsidR="00B67609" w:rsidRPr="00B67609" w:rsidRDefault="00405245" w:rsidP="00405245">
      <w:pPr>
        <w:rPr>
          <w:i/>
          <w:color w:val="FF0000"/>
        </w:rPr>
      </w:pPr>
      <w:r w:rsidRPr="00A738D3">
        <w:rPr>
          <w:b/>
        </w:rPr>
        <w:t>L’a</w:t>
      </w:r>
      <w:r w:rsidR="00C11403" w:rsidRPr="00A738D3">
        <w:rPr>
          <w:b/>
        </w:rPr>
        <w:t xml:space="preserve">rrêté du </w:t>
      </w:r>
      <w:r w:rsidRPr="00A738D3">
        <w:rPr>
          <w:b/>
        </w:rPr>
        <w:t>10 juin 2021</w:t>
      </w:r>
      <w:r w:rsidR="00C11403" w:rsidRPr="00A738D3">
        <w:rPr>
          <w:b/>
          <w:color w:val="FF0000"/>
        </w:rPr>
        <w:t xml:space="preserve"> </w:t>
      </w:r>
      <w:r w:rsidR="00C11403" w:rsidRPr="00A738D3">
        <w:rPr>
          <w:b/>
        </w:rPr>
        <w:t>portant dispositions relatives aux autorisations des instituts et écoles de formation paramédicale et à l’agrément de leur directeur en application des articles R4383-2 et R4383-4 du code de la santé publique</w:t>
      </w:r>
      <w:r w:rsidR="000F6E2A">
        <w:t xml:space="preserve"> </w:t>
      </w:r>
      <w:r w:rsidR="0093001D">
        <w:t>prévoit explicitement qu’il entre dans les missions de IFAS</w:t>
      </w:r>
      <w:r w:rsidR="0093001D">
        <w:rPr>
          <w:rStyle w:val="Appelnotedebasdep"/>
        </w:rPr>
        <w:footnoteReference w:id="10"/>
      </w:r>
      <w:r w:rsidR="0093001D">
        <w:t xml:space="preserve"> de réaliser des formations par la voie de</w:t>
      </w:r>
      <w:r w:rsidR="0062618B">
        <w:t xml:space="preserve"> l’apprentissage. Son article 14</w:t>
      </w:r>
      <w:r w:rsidR="0093001D">
        <w:t xml:space="preserve"> prévoit que « </w:t>
      </w:r>
      <w:r w:rsidR="0062618B" w:rsidRPr="0062618B">
        <w:rPr>
          <w:i/>
        </w:rPr>
        <w:t>Les apprentis et les personnes inscrites dans le cadre de la validation des acquis de l’expérience ne sont pas comptabilisés dans le nombre maximum d’étudiants ou élèves mentionné au premier alinéa. Les instituts et écoles de formation paramédicale concernés s’engagent à garantir la qualité pédagogique de la formation délivrée sous le contrôle de l’agence régionale de santé ainsi que la sécurité de l’accueil en formation des apprenants sel</w:t>
      </w:r>
      <w:r w:rsidR="0062618B">
        <w:rPr>
          <w:i/>
        </w:rPr>
        <w:t>on la réglementation en vigueur </w:t>
      </w:r>
      <w:r w:rsidR="0093001D">
        <w:t xml:space="preserve">». Il prévoit </w:t>
      </w:r>
      <w:r w:rsidR="00716783">
        <w:t>à titre exceptionnel pour 2021 et 2022, la possibilité d’étendre les locaux des instituts, ou d’en créer de nouveau</w:t>
      </w:r>
      <w:r w:rsidR="00024FC3">
        <w:t>x</w:t>
      </w:r>
      <w:r w:rsidR="00716783">
        <w:t>, sans attendre l’autorisa</w:t>
      </w:r>
      <w:r w:rsidR="0062618B">
        <w:t>tion de la région (article 16</w:t>
      </w:r>
      <w:r w:rsidR="00716783">
        <w:t xml:space="preserve">). En revanche, les instituts doivent adresser l’ensemble des documents </w:t>
      </w:r>
      <w:r w:rsidR="0062618B">
        <w:t>constitutifs du dossier d’autorisation</w:t>
      </w:r>
      <w:r w:rsidR="00716783">
        <w:t xml:space="preserve"> avant d’accueillir les apprenants. </w:t>
      </w:r>
    </w:p>
    <w:p w14:paraId="25C8FEFE" w14:textId="3E1AB425" w:rsidR="00FC453B" w:rsidRDefault="00FC453B" w:rsidP="00542EEC">
      <w:r>
        <w:t>Une hypothèse complémentaire pourrait consister</w:t>
      </w:r>
      <w:r w:rsidR="00E9761B">
        <w:t xml:space="preserve"> à permettre la création de CFA pour les professions paramédicales sans solliciter l’autorisation préalable de la région</w:t>
      </w:r>
      <w:r w:rsidR="00B67609">
        <w:t>, conformément à l’esprit de la loi n°</w:t>
      </w:r>
      <w:r w:rsidR="00B67609" w:rsidRPr="00B67609">
        <w:t>2018-771 du 5 septembre 2018 pour la liberté de choisir son avenir professionnel</w:t>
      </w:r>
      <w:r w:rsidR="00E9761B">
        <w:t xml:space="preserve">. Cela suppose une modification du code de la santé publique et susciterait l’ire de Région de France. </w:t>
      </w:r>
      <w:r w:rsidR="00B67609" w:rsidRPr="006C37F2">
        <w:rPr>
          <w:i/>
          <w:color w:val="FF0000"/>
        </w:rPr>
        <w:t xml:space="preserve">La réponse de la DAJ des ministères sociaux </w:t>
      </w:r>
      <w:r w:rsidR="006C37F2">
        <w:rPr>
          <w:i/>
          <w:color w:val="FF0000"/>
        </w:rPr>
        <w:t xml:space="preserve">sollicitée par le cabinet Autonomie </w:t>
      </w:r>
      <w:r w:rsidR="00B67609" w:rsidRPr="006C37F2">
        <w:rPr>
          <w:i/>
          <w:color w:val="FF0000"/>
        </w:rPr>
        <w:t>n’a pas permis à ce stade de dégager une recommandation claire.</w:t>
      </w:r>
      <w:r w:rsidR="000F6E2A">
        <w:rPr>
          <w:i/>
          <w:color w:val="FF0000"/>
        </w:rPr>
        <w:t xml:space="preserve"> Le problème pourra être repris si l’offre ne se développe pas de façon satisfaisante. </w:t>
      </w:r>
    </w:p>
    <w:p w14:paraId="6E1BC23B" w14:textId="77777777" w:rsidR="004579A6" w:rsidRDefault="004579A6" w:rsidP="004579A6">
      <w:pPr>
        <w:pStyle w:val="Titre4"/>
      </w:pPr>
      <w:r>
        <w:t xml:space="preserve">Accompagnement des IFAS </w:t>
      </w:r>
      <w:r w:rsidR="00D953D1">
        <w:t>au développement de classes d’apprentissage</w:t>
      </w:r>
    </w:p>
    <w:p w14:paraId="1C441391" w14:textId="77777777" w:rsidR="000F6E2A" w:rsidRDefault="00F62CAC" w:rsidP="0021267B">
      <w:r>
        <w:t xml:space="preserve">Un groupe de travail réunissant </w:t>
      </w:r>
      <w:r w:rsidR="00716783">
        <w:t>les associations d’IFAS</w:t>
      </w:r>
      <w:r w:rsidR="0052021F">
        <w:t xml:space="preserve"> (l’ANDEP et le GERACFAS)</w:t>
      </w:r>
      <w:r w:rsidR="00716783">
        <w:t xml:space="preserve">, la Croix rouge </w:t>
      </w:r>
      <w:r w:rsidR="0052021F">
        <w:t xml:space="preserve">et la DGOS pour l’incitation et l’accompagnement des IFAS à ouvrir des classes d’apprentissage. </w:t>
      </w:r>
    </w:p>
    <w:p w14:paraId="39F73F21" w14:textId="4894BF8A" w:rsidR="0021267B" w:rsidRPr="006C37F2" w:rsidRDefault="006C37F2" w:rsidP="000F6E2A">
      <w:r w:rsidRPr="00B62EB4">
        <w:rPr>
          <w:b/>
        </w:rPr>
        <w:t xml:space="preserve">Un petit guide </w:t>
      </w:r>
      <w:r w:rsidR="000F6E2A" w:rsidRPr="00B62EB4">
        <w:rPr>
          <w:b/>
        </w:rPr>
        <w:t xml:space="preserve">a été </w:t>
      </w:r>
      <w:r w:rsidR="0052021F" w:rsidRPr="00B62EB4">
        <w:rPr>
          <w:b/>
        </w:rPr>
        <w:t>diffusé</w:t>
      </w:r>
      <w:r w:rsidR="00967E34" w:rsidRPr="00B62EB4">
        <w:rPr>
          <w:b/>
        </w:rPr>
        <w:t>e</w:t>
      </w:r>
      <w:r w:rsidR="0052021F" w:rsidRPr="00B62EB4">
        <w:rPr>
          <w:b/>
        </w:rPr>
        <w:t xml:space="preserve"> par</w:t>
      </w:r>
      <w:r w:rsidR="0052021F" w:rsidRPr="006C37F2">
        <w:t xml:space="preserve"> </w:t>
      </w:r>
      <w:r w:rsidR="000F6E2A" w:rsidRPr="00B62EB4">
        <w:rPr>
          <w:b/>
        </w:rPr>
        <w:t>note d’information</w:t>
      </w:r>
      <w:r w:rsidR="0052021F" w:rsidRPr="00B62EB4">
        <w:rPr>
          <w:b/>
        </w:rPr>
        <w:t xml:space="preserve"> DGOS</w:t>
      </w:r>
      <w:r w:rsidR="000F6E2A" w:rsidRPr="00B62EB4">
        <w:rPr>
          <w:b/>
        </w:rPr>
        <w:t>/RH1/2021/108 le 29 juin</w:t>
      </w:r>
      <w:r w:rsidR="002A4356" w:rsidRPr="006C37F2">
        <w:t xml:space="preserve">, relayé </w:t>
      </w:r>
      <w:r w:rsidR="000F6E2A">
        <w:t>auprès des ARS, instituts et fédérations professionnelles</w:t>
      </w:r>
      <w:r w:rsidR="0052021F" w:rsidRPr="006C37F2">
        <w:t xml:space="preserve">. </w:t>
      </w:r>
    </w:p>
    <w:p w14:paraId="5D3DABD4" w14:textId="69F08A61" w:rsidR="0021267B" w:rsidRPr="0021267B" w:rsidRDefault="0052021F" w:rsidP="0021267B">
      <w:r>
        <w:t xml:space="preserve">Les associations d’instituts sont </w:t>
      </w:r>
      <w:r w:rsidR="002A4356">
        <w:t>engagées</w:t>
      </w:r>
      <w:r>
        <w:t xml:space="preserve"> pour mobiliser leurs adhérents et les soutenir</w:t>
      </w:r>
      <w:r w:rsidR="002A4356">
        <w:t xml:space="preserve"> dans cette démarche. </w:t>
      </w:r>
      <w:r w:rsidR="000F6E2A">
        <w:t>La</w:t>
      </w:r>
      <w:r w:rsidR="006A1595">
        <w:t xml:space="preserve"> </w:t>
      </w:r>
      <w:r w:rsidR="000F6E2A">
        <w:t xml:space="preserve">FHF mobilise également ses adhérents gestionnaires d’instituts. </w:t>
      </w:r>
      <w:r w:rsidR="006A1595">
        <w:t xml:space="preserve"> </w:t>
      </w:r>
    </w:p>
    <w:p w14:paraId="21F5D1DD" w14:textId="77777777" w:rsidR="00D953D1" w:rsidRDefault="00D953D1" w:rsidP="002A4356">
      <w:pPr>
        <w:pStyle w:val="Titre3"/>
      </w:pPr>
      <w:bookmarkStart w:id="10" w:name="_Toc77328913"/>
      <w:r>
        <w:t>Développement de l’apprentissage dans la fonction publique hospitalière</w:t>
      </w:r>
      <w:r w:rsidR="000113C6">
        <w:t xml:space="preserve"> (FPH)</w:t>
      </w:r>
      <w:bookmarkEnd w:id="10"/>
    </w:p>
    <w:p w14:paraId="6E80C9B3" w14:textId="61A85540" w:rsidR="002A4356" w:rsidRDefault="006A1595" w:rsidP="0021267B">
      <w:r>
        <w:t xml:space="preserve">Il n’y a que </w:t>
      </w:r>
      <w:r w:rsidR="002A4356">
        <w:t xml:space="preserve">800 contrats en apprentissage </w:t>
      </w:r>
      <w:r w:rsidR="00B62EB4">
        <w:t xml:space="preserve">de </w:t>
      </w:r>
      <w:r w:rsidR="002A4356">
        <w:t xml:space="preserve">signés </w:t>
      </w:r>
      <w:r w:rsidR="000113C6">
        <w:t>par les employeurs de la FPH. L’Association nationale pour la formation permanente du personnel hospitalier (ANFH)</w:t>
      </w:r>
      <w:r w:rsidR="00391F1E">
        <w:t xml:space="preserve"> n’est pas agréée pour financer de la formation initiale, donc pas agréée pour l’apprentissage. Ainsi les employeurs de la FPH n’ont aucune aide pour financer la formation des apprentis. Les contrats en cours bénéficient souvent d’un cofinancement par l’ARS et ou la Région. Plusieurs actions sont en cours pour développer largement l’apprentissage dans la FPH.</w:t>
      </w:r>
    </w:p>
    <w:p w14:paraId="5DC6BDA1" w14:textId="77777777" w:rsidR="0021267B" w:rsidRDefault="00391F1E" w:rsidP="00391F1E">
      <w:pPr>
        <w:pStyle w:val="Titre4"/>
      </w:pPr>
      <w:r>
        <w:t>Modification réglementaire pour permettre le financement de la formation en apprentissage</w:t>
      </w:r>
    </w:p>
    <w:p w14:paraId="2C65AF05" w14:textId="3E374141" w:rsidR="0021267B" w:rsidRDefault="00391F1E" w:rsidP="0021267B">
      <w:pPr>
        <w:rPr>
          <w:rFonts w:cstheme="minorHAnsi"/>
          <w:bCs/>
        </w:rPr>
      </w:pPr>
      <w:r>
        <w:t xml:space="preserve">Le </w:t>
      </w:r>
      <w:r w:rsidR="001A557F">
        <w:rPr>
          <w:rFonts w:eastAsia="Calibri" w:cstheme="minorHAnsi"/>
          <w:b/>
          <w:color w:val="000000"/>
          <w:szCs w:val="24"/>
          <w:lang w:eastAsia="fr-FR"/>
        </w:rPr>
        <w:t xml:space="preserve">DCE 2008-824 relatif à la formation professionnelle tout au long de la vie </w:t>
      </w:r>
      <w:r w:rsidR="00B92751">
        <w:rPr>
          <w:rFonts w:eastAsia="Calibri" w:cstheme="minorHAnsi"/>
          <w:color w:val="000000"/>
          <w:szCs w:val="24"/>
          <w:lang w:eastAsia="fr-FR"/>
        </w:rPr>
        <w:t>doit</w:t>
      </w:r>
      <w:r w:rsidR="001A557F">
        <w:rPr>
          <w:rFonts w:eastAsia="Calibri" w:cstheme="minorHAnsi"/>
          <w:color w:val="000000"/>
          <w:szCs w:val="24"/>
          <w:lang w:eastAsia="fr-FR"/>
        </w:rPr>
        <w:t xml:space="preserve"> être modifié pour permettre </w:t>
      </w:r>
      <w:r w:rsidR="00536CBA">
        <w:rPr>
          <w:rFonts w:cstheme="minorHAnsi"/>
          <w:bCs/>
        </w:rPr>
        <w:t xml:space="preserve">d’imputer </w:t>
      </w:r>
      <w:r w:rsidR="001A557F" w:rsidRPr="00631880">
        <w:rPr>
          <w:bCs/>
        </w:rPr>
        <w:t>des</w:t>
      </w:r>
      <w:r w:rsidR="001A557F" w:rsidRPr="00631880">
        <w:t xml:space="preserve"> dépenses liées à l’apprentissage</w:t>
      </w:r>
      <w:r w:rsidR="001A557F" w:rsidRPr="00631880">
        <w:rPr>
          <w:bCs/>
        </w:rPr>
        <w:t xml:space="preserve"> sur les fonds de la formation continue</w:t>
      </w:r>
      <w:r w:rsidR="001A557F">
        <w:t>.</w:t>
      </w:r>
      <w:r w:rsidR="001A557F">
        <w:rPr>
          <w:rFonts w:cstheme="minorHAnsi"/>
          <w:bCs/>
        </w:rPr>
        <w:t xml:space="preserve"> </w:t>
      </w:r>
    </w:p>
    <w:p w14:paraId="53F80B03" w14:textId="001EB938" w:rsidR="00536CBA" w:rsidRPr="00D17A84" w:rsidRDefault="00536CBA" w:rsidP="0021267B">
      <w:pPr>
        <w:rPr>
          <w:i/>
          <w:color w:val="FF0000"/>
        </w:rPr>
      </w:pPr>
      <w:r w:rsidRPr="00D17A84">
        <w:rPr>
          <w:i/>
          <w:color w:val="FF0000"/>
        </w:rPr>
        <w:t xml:space="preserve">La DGOS a </w:t>
      </w:r>
      <w:r w:rsidR="006A1595">
        <w:rPr>
          <w:i/>
          <w:color w:val="FF0000"/>
        </w:rPr>
        <w:t>présenté le projet de DCE modificatif au cabinet Santé.</w:t>
      </w:r>
      <w:r w:rsidR="00B91A17">
        <w:rPr>
          <w:i/>
          <w:color w:val="FF0000"/>
        </w:rPr>
        <w:t xml:space="preserve"> Il pourrait être publié en septembre…</w:t>
      </w:r>
    </w:p>
    <w:p w14:paraId="6DCB54C5" w14:textId="77777777" w:rsidR="00536CBA" w:rsidRDefault="00536CBA" w:rsidP="00536CBA">
      <w:pPr>
        <w:pStyle w:val="Titre4"/>
      </w:pPr>
      <w:r>
        <w:lastRenderedPageBreak/>
        <w:t>Les composantes de l’ANFH</w:t>
      </w:r>
      <w:r w:rsidR="00D17A84">
        <w:t xml:space="preserve"> construisent les modalités du financement de l’apprentissage </w:t>
      </w:r>
    </w:p>
    <w:p w14:paraId="2C7FEBE0" w14:textId="05098F63" w:rsidR="00D17A84" w:rsidRDefault="00D17A84" w:rsidP="00D17A84">
      <w:r>
        <w:t xml:space="preserve">La présidente de l’ANFH, CGT, et son vice-président de la FHF, ont confirmé à la mission leur engagement à introduire des modalités de financement de l’apprentissage à iso-montant de cotisation. </w:t>
      </w:r>
      <w:r w:rsidR="009E16E6">
        <w:t xml:space="preserve">La FHF est très partante, poussée par la demande croissante de ses adhérents. Les organisations syndicales </w:t>
      </w:r>
      <w:r w:rsidR="00B62EB4">
        <w:t>étaient</w:t>
      </w:r>
      <w:r w:rsidR="009E16E6">
        <w:t xml:space="preserve"> plus hésitantes, mais la conviction de la présidente </w:t>
      </w:r>
      <w:r w:rsidR="00B62EB4">
        <w:t>a permis</w:t>
      </w:r>
      <w:r w:rsidR="009E16E6">
        <w:t xml:space="preserve"> d’avancer. </w:t>
      </w:r>
    </w:p>
    <w:p w14:paraId="4288AFD7" w14:textId="6BFB382B" w:rsidR="00F62CAC" w:rsidRPr="00B92751" w:rsidRDefault="00B92751" w:rsidP="00B92751">
      <w:r>
        <w:t>Le CA de l’ANFH du 20 mai dernier a approuvé des modalités de financement de l’apprentissage</w:t>
      </w:r>
      <w:r w:rsidR="007B4485">
        <w:t xml:space="preserve"> permettant aux établissements de mobiliser des fonds mutualisés, dès lors qu’ils engagent une partie du financement sur leur plan de formation. Cette mesure sera effective avec la publication du projet de DCE </w:t>
      </w:r>
      <w:proofErr w:type="spellStart"/>
      <w:r w:rsidR="007B4485">
        <w:t>sus-mentionné</w:t>
      </w:r>
      <w:proofErr w:type="spellEnd"/>
      <w:r w:rsidR="007B4485">
        <w:t xml:space="preserve">. </w:t>
      </w:r>
    </w:p>
    <w:p w14:paraId="10CE9F2E" w14:textId="55A5A52E" w:rsidR="0021267B" w:rsidRDefault="007B4485" w:rsidP="00536CBA">
      <w:pPr>
        <w:pStyle w:val="Titre4"/>
      </w:pPr>
      <w:r>
        <w:t>V</w:t>
      </w:r>
      <w:r w:rsidR="00536CBA">
        <w:t>ersement d’une a</w:t>
      </w:r>
      <w:r w:rsidR="0021267B">
        <w:t>ide exceptionnelle</w:t>
      </w:r>
      <w:r w:rsidR="00EC6DB4">
        <w:t xml:space="preserve"> de 3k€</w:t>
      </w:r>
      <w:r w:rsidR="00536CBA">
        <w:t xml:space="preserve"> pour </w:t>
      </w:r>
      <w:r>
        <w:t>prendre en charge une partie du coût salariale et lancer le dispositif</w:t>
      </w:r>
      <w:r w:rsidR="00BD4F83">
        <w:t xml:space="preserve"> (RIM </w:t>
      </w:r>
      <w:r w:rsidR="00EC6DB4">
        <w:t xml:space="preserve">du </w:t>
      </w:r>
      <w:r w:rsidR="00BD4F83">
        <w:t>12 mai)</w:t>
      </w:r>
    </w:p>
    <w:p w14:paraId="3D127C4E" w14:textId="1F3D768D" w:rsidR="009834F4" w:rsidRDefault="009834F4" w:rsidP="009E16E6">
      <w:r>
        <w:t xml:space="preserve">Les employeurs de la FPH sont </w:t>
      </w:r>
      <w:r w:rsidR="00EC6DB4">
        <w:t>accoutumés</w:t>
      </w:r>
      <w:r>
        <w:t xml:space="preserve"> à recruter des personnels qualifiés et à n’avoir pas à financer leur formation. Et l’ANFH propose depuis de longues années un dispositif de promotion professionnelle qui </w:t>
      </w:r>
      <w:r w:rsidR="00C61E67">
        <w:t xml:space="preserve">prend en charge l’ensemble des frais, remplacement du salarié en formation inclus. C’est pourquoi </w:t>
      </w:r>
      <w:r w:rsidR="00EC6DB4">
        <w:t>l’apprentissage n’a pas été identifié comme une solution jusqu’à cette année, où la tension sur les recrutements est devenue insoutenable avec la crise. C</w:t>
      </w:r>
      <w:r w:rsidR="00C61E67">
        <w:t>ette aide exceptionnelle pour atténuer le coût du salaire, assortie de la mise en place d’un financement de la formation</w:t>
      </w:r>
      <w:r w:rsidR="00EC6DB4">
        <w:t xml:space="preserve"> des apprentis (cf. </w:t>
      </w:r>
      <w:r w:rsidR="002C1C57">
        <w:rPr>
          <w:i/>
        </w:rPr>
        <w:t>supra</w:t>
      </w:r>
      <w:r w:rsidR="00EC6DB4">
        <w:rPr>
          <w:i/>
        </w:rPr>
        <w:t xml:space="preserve"> 1.2.4.2</w:t>
      </w:r>
      <w:r w:rsidR="00EC6DB4">
        <w:t>)</w:t>
      </w:r>
      <w:r w:rsidR="00C61E67">
        <w:t xml:space="preserve">, devrait permettre de donner le goût de l’apprentissage à ces employeurs. </w:t>
      </w:r>
    </w:p>
    <w:p w14:paraId="64C297EB" w14:textId="6732B92C" w:rsidR="00B91A17" w:rsidRDefault="006422F1" w:rsidP="009E16E6">
      <w:pPr>
        <w:rPr>
          <w:i/>
          <w:color w:val="FF0000"/>
        </w:rPr>
      </w:pPr>
      <w:r w:rsidRPr="009834F4">
        <w:rPr>
          <w:i/>
          <w:color w:val="FF0000"/>
        </w:rPr>
        <w:t xml:space="preserve">La </w:t>
      </w:r>
      <w:r w:rsidR="00BD4F83" w:rsidRPr="009834F4">
        <w:rPr>
          <w:i/>
          <w:color w:val="FF0000"/>
        </w:rPr>
        <w:t>mise en place d’une aide exceptionnelle</w:t>
      </w:r>
      <w:r w:rsidRPr="009834F4">
        <w:rPr>
          <w:i/>
          <w:color w:val="FF0000"/>
        </w:rPr>
        <w:t xml:space="preserve"> </w:t>
      </w:r>
      <w:r w:rsidR="00EC6DB4">
        <w:rPr>
          <w:i/>
          <w:color w:val="FF0000"/>
        </w:rPr>
        <w:t xml:space="preserve">de 3000 € </w:t>
      </w:r>
      <w:r w:rsidR="00CC5BC0" w:rsidRPr="009834F4">
        <w:rPr>
          <w:i/>
          <w:color w:val="FF0000"/>
        </w:rPr>
        <w:t>jusqu’à la fin de l’année 2021</w:t>
      </w:r>
      <w:r w:rsidR="009834F4">
        <w:rPr>
          <w:i/>
          <w:color w:val="FF0000"/>
        </w:rPr>
        <w:t xml:space="preserve"> pour diminuer le coût du salaire</w:t>
      </w:r>
      <w:r w:rsidR="00EC6DB4">
        <w:rPr>
          <w:i/>
          <w:color w:val="FF0000"/>
        </w:rPr>
        <w:t xml:space="preserve"> des apprentis</w:t>
      </w:r>
      <w:r w:rsidR="00CE1D04" w:rsidRPr="009834F4">
        <w:rPr>
          <w:i/>
          <w:color w:val="FF0000"/>
        </w:rPr>
        <w:t>,</w:t>
      </w:r>
      <w:r w:rsidR="00CC5BC0" w:rsidRPr="009834F4">
        <w:rPr>
          <w:i/>
          <w:color w:val="FF0000"/>
        </w:rPr>
        <w:t xml:space="preserve"> permett</w:t>
      </w:r>
      <w:r w:rsidR="007B4485" w:rsidRPr="009834F4">
        <w:rPr>
          <w:i/>
          <w:color w:val="FF0000"/>
        </w:rPr>
        <w:t>ra</w:t>
      </w:r>
      <w:r w:rsidR="00CC5BC0" w:rsidRPr="009834F4">
        <w:rPr>
          <w:i/>
          <w:color w:val="FF0000"/>
        </w:rPr>
        <w:t xml:space="preserve"> </w:t>
      </w:r>
      <w:r w:rsidR="00BD4F83" w:rsidRPr="009834F4">
        <w:rPr>
          <w:i/>
          <w:color w:val="FF0000"/>
        </w:rPr>
        <w:t>de motiver les employeurs en diminuant le coût d’</w:t>
      </w:r>
      <w:r w:rsidR="002B25CE">
        <w:rPr>
          <w:i/>
          <w:color w:val="FF0000"/>
        </w:rPr>
        <w:t>entrée</w:t>
      </w:r>
      <w:r w:rsidR="00BD4F83" w:rsidRPr="009834F4">
        <w:rPr>
          <w:i/>
          <w:color w:val="FF0000"/>
        </w:rPr>
        <w:t xml:space="preserve"> dans le dispositif</w:t>
      </w:r>
      <w:r w:rsidR="00CE1D04" w:rsidRPr="009834F4">
        <w:rPr>
          <w:i/>
          <w:color w:val="FF0000"/>
        </w:rPr>
        <w:t>.</w:t>
      </w:r>
      <w:r w:rsidR="000F6E2A">
        <w:rPr>
          <w:i/>
          <w:color w:val="FF0000"/>
        </w:rPr>
        <w:t xml:space="preserve"> Un décret simple, ou une disposition du DCE </w:t>
      </w:r>
      <w:r w:rsidR="00F1371D">
        <w:rPr>
          <w:i/>
          <w:color w:val="FF0000"/>
        </w:rPr>
        <w:t>susmentionné</w:t>
      </w:r>
      <w:r w:rsidR="000F6E2A">
        <w:rPr>
          <w:i/>
          <w:color w:val="FF0000"/>
        </w:rPr>
        <w:t xml:space="preserve"> donnera une base juridique à cette aide. </w:t>
      </w:r>
    </w:p>
    <w:p w14:paraId="61BD538B" w14:textId="33BA17D4" w:rsidR="009E16E6" w:rsidRDefault="00B91A17" w:rsidP="009E16E6">
      <w:r>
        <w:rPr>
          <w:i/>
          <w:color w:val="FF0000"/>
        </w:rPr>
        <w:t>Malgré des relances hebdomadaires, le sujet peine à progresser à un rythme satisfaisant</w:t>
      </w:r>
      <w:r w:rsidR="00B62EB4">
        <w:rPr>
          <w:i/>
          <w:color w:val="FF0000"/>
        </w:rPr>
        <w:t>…</w:t>
      </w:r>
      <w:r>
        <w:rPr>
          <w:i/>
          <w:color w:val="FF0000"/>
        </w:rPr>
        <w:t xml:space="preserve"> </w:t>
      </w:r>
      <w:r w:rsidR="00CE1D04" w:rsidRPr="009834F4">
        <w:rPr>
          <w:color w:val="FF0000"/>
        </w:rPr>
        <w:t xml:space="preserve"> </w:t>
      </w:r>
    </w:p>
    <w:p w14:paraId="7586413F" w14:textId="0878C759" w:rsidR="00CE1D04" w:rsidRDefault="00A8620B" w:rsidP="00A8620B">
      <w:pPr>
        <w:pStyle w:val="Titre4"/>
      </w:pPr>
      <w:r>
        <w:t>Vers une indemnité pour les maitres d’apprentissage</w:t>
      </w:r>
      <w:r w:rsidR="00C85739">
        <w:t xml:space="preserve"> dans la FPH</w:t>
      </w:r>
    </w:p>
    <w:p w14:paraId="3A81F7FC" w14:textId="77777777" w:rsidR="00A8620B" w:rsidRDefault="00A8620B" w:rsidP="00A8620B">
      <w:r>
        <w:t>L’une des craintes des employeurs de la FPH, c’est d’investir dans la formation de jeunes professionnels qui n’ont aucune obligation à rester. L’enjeu est donc de créer les conditions pour qu’ils soient motivés</w:t>
      </w:r>
      <w:r w:rsidR="001962AE">
        <w:t xml:space="preserve"> et continuent à travailler là où ils se sont formés</w:t>
      </w:r>
      <w:r>
        <w:t>. L’</w:t>
      </w:r>
      <w:r w:rsidR="000172CD">
        <w:t>un de</w:t>
      </w:r>
      <w:r>
        <w:t>s</w:t>
      </w:r>
      <w:r w:rsidR="000172CD">
        <w:t xml:space="preserve"> principaux</w:t>
      </w:r>
      <w:r>
        <w:t xml:space="preserve"> leviers </w:t>
      </w:r>
      <w:r w:rsidR="001962AE">
        <w:t xml:space="preserve">pour y parvenir, </w:t>
      </w:r>
      <w:r>
        <w:t xml:space="preserve">est de sécuriser que les apprentis soient encadrés et accompagnés tout au long de leur parcours par des maitres d’apprentissage dûment formés. </w:t>
      </w:r>
      <w:r w:rsidR="000172CD">
        <w:t xml:space="preserve">Si les professionnels de santé sont habitués à recevoir des stagiaires et à les encadrer, la responsabilité du maitre d’apprentissage est sensiblement différente. Elle suppose notamment un engagement dans la durée et des contacts réguliers avec le CFA. </w:t>
      </w:r>
    </w:p>
    <w:p w14:paraId="79BE0E3B" w14:textId="1E446A7F" w:rsidR="000172CD" w:rsidRDefault="000172CD" w:rsidP="002B25CE">
      <w:pPr>
        <w:rPr>
          <w:i/>
          <w:color w:val="FF0000"/>
        </w:rPr>
      </w:pPr>
      <w:r w:rsidRPr="000172CD">
        <w:rPr>
          <w:i/>
          <w:color w:val="FF0000"/>
        </w:rPr>
        <w:t>L</w:t>
      </w:r>
      <w:r w:rsidR="002B25CE">
        <w:rPr>
          <w:i/>
          <w:color w:val="FF0000"/>
        </w:rPr>
        <w:t xml:space="preserve">e principe d’une </w:t>
      </w:r>
      <w:r w:rsidRPr="000172CD">
        <w:rPr>
          <w:i/>
          <w:color w:val="FF0000"/>
        </w:rPr>
        <w:t xml:space="preserve">indemnisation des maitres d’apprentissage </w:t>
      </w:r>
      <w:r w:rsidR="002B25CE">
        <w:rPr>
          <w:i/>
          <w:color w:val="FF0000"/>
        </w:rPr>
        <w:t xml:space="preserve">est retenu. Des arbitrages devraient intervenir cet été pour le confirmer, lors de la préparation des négociations portant sur le régime indemnitaire dans la FPH programmées à partir de janvier 2022. </w:t>
      </w:r>
    </w:p>
    <w:p w14:paraId="41B642EF" w14:textId="22A80FB2" w:rsidR="008817A6" w:rsidRDefault="008817A6" w:rsidP="008817A6">
      <w:pPr>
        <w:pStyle w:val="Titre4"/>
      </w:pPr>
      <w:r>
        <w:t>Vers une prise en compte de l’ancienneté des apprentis dans leur carrière dans la FPH</w:t>
      </w:r>
    </w:p>
    <w:p w14:paraId="246EE9FF" w14:textId="5EE2EFAD" w:rsidR="008817A6" w:rsidRDefault="008817A6" w:rsidP="008817A6">
      <w:r>
        <w:t>Le contrat d’apprentissage ne permet pas aux intéressés de capitaliser de l’ancienneté dans la FPH, comme dans les autres versants de la fonction publique. Il serait attractif pour ces jeunes de pouvoir capitaliser de l’ancienneté, puisque dans la FPH, c’est l’un des critères pris en compte pour avoir accès aux concours de la FPH et aux études promotionnelles.</w:t>
      </w:r>
    </w:p>
    <w:p w14:paraId="4311A72D" w14:textId="41F2D1DC" w:rsidR="008817A6" w:rsidRPr="008817A6" w:rsidRDefault="008817A6" w:rsidP="008817A6">
      <w:pPr>
        <w:rPr>
          <w:i/>
          <w:color w:val="FF0000"/>
        </w:rPr>
      </w:pPr>
      <w:r>
        <w:rPr>
          <w:i/>
          <w:color w:val="FF0000"/>
        </w:rPr>
        <w:t>Le ministère de la fon</w:t>
      </w:r>
      <w:r w:rsidR="000E02E7">
        <w:rPr>
          <w:i/>
          <w:color w:val="FF0000"/>
        </w:rPr>
        <w:t>ction publique prévoit</w:t>
      </w:r>
      <w:r>
        <w:rPr>
          <w:i/>
          <w:color w:val="FF0000"/>
        </w:rPr>
        <w:t xml:space="preserve">, pour les trois versants de la fonction publique, de prendre en compte le contrat d’apprentissage dans l’ancienneté des futures fonctionnaires. </w:t>
      </w:r>
    </w:p>
    <w:p w14:paraId="689082EE" w14:textId="694A882F" w:rsidR="00C85739" w:rsidRDefault="00C85739" w:rsidP="00D953D1">
      <w:pPr>
        <w:pStyle w:val="Titre3"/>
      </w:pPr>
      <w:bookmarkStart w:id="11" w:name="_Toc77328914"/>
      <w:r>
        <w:lastRenderedPageBreak/>
        <w:t>Le difficile déploiement de l’apprentissage dans le domicile</w:t>
      </w:r>
      <w:bookmarkEnd w:id="11"/>
    </w:p>
    <w:p w14:paraId="6B5762B7" w14:textId="6A4FF1D9" w:rsidR="00C85739" w:rsidRDefault="00C85739" w:rsidP="00C85739">
      <w:r>
        <w:t xml:space="preserve">Les fédérations de la BAD sont unanimes : l’apprentissage ne peut se développer tant qu’il n’y a pas un financement pour la double intervention (l’apprenti et son maitre d’apprentissage). </w:t>
      </w:r>
    </w:p>
    <w:p w14:paraId="17FE018E" w14:textId="52A58AB0" w:rsidR="00C85739" w:rsidRDefault="00C85739" w:rsidP="00C85739">
      <w:r>
        <w:t xml:space="preserve">Dans la pratique, l’apprentissage s’est beaucoup développé dans les entreprises du domicile, mais pas dans les associations. Nombre de ces employeurs lucratifs a en effet choisi un modèle de développement fondé sur des tarifs qui couvrent mieux leurs frais, mais qui s’adressent ce faisant, à une clientèle relativement aisée. </w:t>
      </w:r>
    </w:p>
    <w:p w14:paraId="15D131F3" w14:textId="57CE9E83" w:rsidR="00C85739" w:rsidRDefault="00C85739" w:rsidP="00C85739">
      <w:r>
        <w:t xml:space="preserve">Certains CFA commencent à proposer une offre </w:t>
      </w:r>
      <w:r w:rsidR="003A77B6">
        <w:t>avec une progression pédagogique adaptées aux contraintes de l’activité, et intégrant aussi la nécessité de proposer après quelques semaines en binôme, des interventions de l’apprenti seul, sur des services simples. Il apparait cependant que pour un apprenti de 26 à 29 ans, l’</w:t>
      </w:r>
      <w:r w:rsidR="00B3516A">
        <w:t xml:space="preserve">employeur ne peut plus couvrir le coût de la double intervention : l’apprenti et son maitre. Cela représente un facteur d’autant plus limitant que la majorité des personnes qui s’oriente vers ces formations a autour de 30 ans. </w:t>
      </w:r>
    </w:p>
    <w:p w14:paraId="5BB961D9" w14:textId="64EA2CFE" w:rsidR="00B91A17" w:rsidRPr="00B91A17" w:rsidRDefault="00B91A17" w:rsidP="00C85739">
      <w:pPr>
        <w:rPr>
          <w:i/>
          <w:color w:val="FF0000"/>
        </w:rPr>
      </w:pPr>
      <w:r>
        <w:rPr>
          <w:i/>
          <w:color w:val="FF0000"/>
        </w:rPr>
        <w:t>Une action pourrait être engagée</w:t>
      </w:r>
      <w:r w:rsidR="00A56674">
        <w:rPr>
          <w:i/>
          <w:color w:val="FF0000"/>
        </w:rPr>
        <w:t xml:space="preserve"> avec les fédérations et auprès des employeurs</w:t>
      </w:r>
      <w:r>
        <w:rPr>
          <w:i/>
          <w:color w:val="FF0000"/>
        </w:rPr>
        <w:t xml:space="preserve"> pour susciter le développement de l’apprentissage et populariser les parcours pédagogiques et modèles économiques expérimentés avec succès. Le maintien d’une aide au recrutem</w:t>
      </w:r>
      <w:r w:rsidR="00A56674">
        <w:rPr>
          <w:i/>
          <w:color w:val="FF0000"/>
        </w:rPr>
        <w:t xml:space="preserve">ent serait naturellement un levier utile. </w:t>
      </w:r>
    </w:p>
    <w:p w14:paraId="0B34E2A0" w14:textId="66BFD663" w:rsidR="0021267B" w:rsidRDefault="0021267B" w:rsidP="00D953D1">
      <w:pPr>
        <w:pStyle w:val="Titre3"/>
      </w:pPr>
      <w:bookmarkStart w:id="12" w:name="_Toc77328915"/>
      <w:r>
        <w:t>Le développement de la VAE pour qualifier les nombreux « faisant fonction de »</w:t>
      </w:r>
      <w:bookmarkEnd w:id="12"/>
    </w:p>
    <w:p w14:paraId="59639340" w14:textId="31825956" w:rsidR="00F01321" w:rsidRDefault="000172CD" w:rsidP="0021267B">
      <w:r>
        <w:t xml:space="preserve">Le rapport </w:t>
      </w:r>
      <w:r w:rsidR="00F01321">
        <w:t xml:space="preserve">remis par David </w:t>
      </w:r>
      <w:r>
        <w:t xml:space="preserve">Rivoire </w:t>
      </w:r>
      <w:r w:rsidR="00F01321">
        <w:t xml:space="preserve">à la ministre du Travail, de l’Emploi et de l’Insertion, </w:t>
      </w:r>
      <w:r w:rsidR="00D67BBA">
        <w:t xml:space="preserve">comporte des propositions pour </w:t>
      </w:r>
      <w:r>
        <w:t>réformer le système de la VAE pour faciliter sa mobilisation par un nombr</w:t>
      </w:r>
      <w:r w:rsidR="00F01321">
        <w:t>e plus large de professionnels, en particulier pour les personnes ayant un faible niveau scolaire et des difficultés avec l’écrit.</w:t>
      </w:r>
    </w:p>
    <w:p w14:paraId="5F02AAED" w14:textId="35EF6E9E" w:rsidR="0021267B" w:rsidRPr="00B208DD" w:rsidRDefault="00D67BBA" w:rsidP="0021267B">
      <w:pPr>
        <w:rPr>
          <w:i/>
          <w:color w:val="FF0000"/>
        </w:rPr>
      </w:pPr>
      <w:r w:rsidRPr="00B208DD">
        <w:rPr>
          <w:i/>
          <w:color w:val="FF0000"/>
        </w:rPr>
        <w:t xml:space="preserve">Le MTEI </w:t>
      </w:r>
      <w:r w:rsidR="000E02E7" w:rsidRPr="00B208DD">
        <w:rPr>
          <w:i/>
          <w:color w:val="FF0000"/>
        </w:rPr>
        <w:t xml:space="preserve">prépare une </w:t>
      </w:r>
      <w:r w:rsidR="00B208DD" w:rsidRPr="00B208DD">
        <w:rPr>
          <w:i/>
          <w:color w:val="FF0000"/>
        </w:rPr>
        <w:t>expérimentation qui portera sur les métiers de l’autonomie</w:t>
      </w:r>
      <w:r w:rsidR="00B208DD">
        <w:rPr>
          <w:i/>
          <w:color w:val="FF0000"/>
        </w:rPr>
        <w:t xml:space="preserve"> pour accélérer la recevabilité du dossier, améliorer l’accompagnement des personnes (notamment en développant les démarches collectives), et simplifiant le processus de validation pour des personnes peu familières de l’écrit et à qui tout processus de formation fait peur.</w:t>
      </w:r>
      <w:r w:rsidR="00A56674">
        <w:rPr>
          <w:i/>
          <w:color w:val="FF0000"/>
        </w:rPr>
        <w:t xml:space="preserve"> </w:t>
      </w:r>
    </w:p>
    <w:p w14:paraId="046429FB" w14:textId="69588DE9" w:rsidR="0021267B" w:rsidRDefault="00A14357" w:rsidP="00A14357">
      <w:pPr>
        <w:pStyle w:val="Titre2"/>
      </w:pPr>
      <w:bookmarkStart w:id="13" w:name="_Toc77328916"/>
      <w:r>
        <w:t>Anticiper la nécessité de tenir de plus fréquents</w:t>
      </w:r>
      <w:r w:rsidR="0021267B">
        <w:t xml:space="preserve"> jurys </w:t>
      </w:r>
      <w:r w:rsidR="00F95D7D">
        <w:t>d’examen</w:t>
      </w:r>
      <w:r>
        <w:t xml:space="preserve"> avec l’augmentation de l’offre de formation</w:t>
      </w:r>
      <w:bookmarkEnd w:id="13"/>
    </w:p>
    <w:p w14:paraId="11AB3A88" w14:textId="47530329" w:rsidR="0034715D" w:rsidRPr="0034715D" w:rsidRDefault="002D2B57" w:rsidP="0034715D">
      <w:pPr>
        <w:rPr>
          <w:rFonts w:ascii="Calibri" w:eastAsia="Times New Roman" w:hAnsi="Calibri" w:cs="Calibri"/>
          <w:lang w:eastAsia="fr-FR"/>
        </w:rPr>
      </w:pPr>
      <w:r>
        <w:t>L’insuffisante fréquence des jurys</w:t>
      </w:r>
      <w:r w:rsidR="001962AE">
        <w:t xml:space="preserve"> d’</w:t>
      </w:r>
      <w:r w:rsidR="006F3D74">
        <w:t>examen</w:t>
      </w:r>
      <w:r>
        <w:t xml:space="preserve"> est régulièrement mentionnée comme une limite à la fluidité d’entrée de professionnels sur ces métiers en tension.</w:t>
      </w:r>
      <w:r w:rsidR="009450FC">
        <w:t xml:space="preserve"> </w:t>
      </w:r>
      <w:r>
        <w:t xml:space="preserve">L’arrêté du 12 avril mentionné </w:t>
      </w:r>
      <w:r w:rsidR="00A14357" w:rsidRPr="00A14357">
        <w:t>au</w:t>
      </w:r>
      <w:r w:rsidR="006F3D74">
        <w:rPr>
          <w:i/>
        </w:rPr>
        <w:t xml:space="preserve"> </w:t>
      </w:r>
      <w:r w:rsidR="00065472">
        <w:t>1</w:t>
      </w:r>
      <w:r w:rsidR="006F3D74">
        <w:t>.2.3.</w:t>
      </w:r>
      <w:r w:rsidR="00065472">
        <w:t>2</w:t>
      </w:r>
      <w:r w:rsidR="006F3D74">
        <w:t>)</w:t>
      </w:r>
      <w:r>
        <w:t xml:space="preserve">, prévoit que les entretiens </w:t>
      </w:r>
      <w:r w:rsidR="009450FC">
        <w:t>des jurys d</w:t>
      </w:r>
      <w:r>
        <w:t>’examen</w:t>
      </w:r>
      <w:r w:rsidR="009450FC">
        <w:t xml:space="preserve"> puissent se tenir</w:t>
      </w:r>
      <w:r>
        <w:t xml:space="preserve"> à distance</w:t>
      </w:r>
      <w:r w:rsidR="009450FC">
        <w:t xml:space="preserve"> (article 4 modifié), ce qui devrait faciliter leur tenue plus régulière et limiter des frais de déplacement. </w:t>
      </w:r>
      <w:r w:rsidR="0034715D">
        <w:t>L’arrêté</w:t>
      </w:r>
      <w:r w:rsidR="0034715D" w:rsidRPr="009450FC">
        <w:rPr>
          <w:rFonts w:ascii="Calibri" w:eastAsia="Times New Roman" w:hAnsi="Calibri" w:cs="Calibri"/>
          <w:lang w:eastAsia="fr-FR"/>
        </w:rPr>
        <w:t xml:space="preserve"> </w:t>
      </w:r>
      <w:r w:rsidR="0034715D">
        <w:rPr>
          <w:rFonts w:ascii="Calibri" w:eastAsia="Times New Roman" w:hAnsi="Calibri" w:cs="Calibri"/>
          <w:lang w:eastAsia="fr-FR"/>
        </w:rPr>
        <w:t xml:space="preserve">du </w:t>
      </w:r>
      <w:r w:rsidR="0034715D" w:rsidRPr="009450FC">
        <w:rPr>
          <w:rFonts w:ascii="Calibri" w:eastAsia="Times New Roman" w:hAnsi="Calibri" w:cs="Calibri"/>
          <w:lang w:eastAsia="fr-FR"/>
        </w:rPr>
        <w:t>30 déc</w:t>
      </w:r>
      <w:r w:rsidR="0034715D">
        <w:rPr>
          <w:rFonts w:ascii="Calibri" w:eastAsia="Times New Roman" w:hAnsi="Calibri" w:cs="Calibri"/>
          <w:lang w:eastAsia="fr-FR"/>
        </w:rPr>
        <w:t>embre</w:t>
      </w:r>
      <w:r w:rsidR="0034715D" w:rsidRPr="009450FC">
        <w:rPr>
          <w:rFonts w:ascii="Calibri" w:eastAsia="Times New Roman" w:hAnsi="Calibri" w:cs="Calibri"/>
          <w:lang w:eastAsia="fr-FR"/>
        </w:rPr>
        <w:t xml:space="preserve"> 2020</w:t>
      </w:r>
      <w:r w:rsidR="0034715D">
        <w:rPr>
          <w:rFonts w:ascii="Calibri" w:eastAsia="Times New Roman" w:hAnsi="Calibri" w:cs="Calibri"/>
          <w:lang w:eastAsia="fr-FR"/>
        </w:rPr>
        <w:t xml:space="preserve"> (article 17)</w:t>
      </w:r>
      <w:r w:rsidR="0034715D">
        <w:rPr>
          <w:rStyle w:val="Appelnotedebasdep"/>
          <w:rFonts w:ascii="Calibri" w:eastAsia="Times New Roman" w:hAnsi="Calibri" w:cs="Calibri"/>
          <w:lang w:eastAsia="fr-FR"/>
        </w:rPr>
        <w:footnoteReference w:id="11"/>
      </w:r>
      <w:r w:rsidR="0034715D" w:rsidRPr="009450FC">
        <w:rPr>
          <w:rFonts w:ascii="Calibri" w:eastAsia="Times New Roman" w:hAnsi="Calibri" w:cs="Calibri"/>
          <w:lang w:eastAsia="fr-FR"/>
        </w:rPr>
        <w:t xml:space="preserve"> a </w:t>
      </w:r>
      <w:r w:rsidR="0034715D">
        <w:rPr>
          <w:rFonts w:ascii="Calibri" w:eastAsia="Times New Roman" w:hAnsi="Calibri" w:cs="Calibri"/>
          <w:lang w:eastAsia="fr-FR"/>
        </w:rPr>
        <w:t>ouvert, du fait de la crise seulement, la possibilité de convoquer des</w:t>
      </w:r>
      <w:r w:rsidR="0034715D" w:rsidRPr="009450FC">
        <w:rPr>
          <w:rFonts w:ascii="Calibri" w:eastAsia="Times New Roman" w:hAnsi="Calibri" w:cs="Calibri"/>
          <w:lang w:eastAsia="fr-FR"/>
        </w:rPr>
        <w:t xml:space="preserve"> sessions </w:t>
      </w:r>
      <w:r w:rsidR="0034715D">
        <w:rPr>
          <w:rFonts w:ascii="Calibri" w:eastAsia="Times New Roman" w:hAnsi="Calibri" w:cs="Calibri"/>
          <w:lang w:eastAsia="fr-FR"/>
        </w:rPr>
        <w:t xml:space="preserve">supplémentaires de jury </w:t>
      </w:r>
      <w:r w:rsidR="0034715D">
        <w:t>« </w:t>
      </w:r>
      <w:r w:rsidR="0034715D" w:rsidRPr="0034715D">
        <w:rPr>
          <w:i/>
        </w:rPr>
        <w:t>pour permettre le cas échéant à des étudiants ou élèves de compléter leur formation et d’être présentés au jury »</w:t>
      </w:r>
      <w:r w:rsidR="0034715D">
        <w:t xml:space="preserve">. </w:t>
      </w:r>
      <w:r w:rsidR="0034715D" w:rsidRPr="00D73564">
        <w:rPr>
          <w:i/>
          <w:color w:val="FF0000"/>
        </w:rPr>
        <w:t>Cette disposition prise à titre exceptionnel dans le contexte de la crise pourrait être</w:t>
      </w:r>
      <w:r w:rsidR="006F3D74" w:rsidRPr="00D73564">
        <w:rPr>
          <w:i/>
          <w:color w:val="FF0000"/>
        </w:rPr>
        <w:t xml:space="preserve"> opportunément</w:t>
      </w:r>
      <w:r w:rsidR="0034715D" w:rsidRPr="00D73564">
        <w:rPr>
          <w:i/>
          <w:color w:val="FF0000"/>
        </w:rPr>
        <w:t xml:space="preserve"> pérennisée. </w:t>
      </w:r>
    </w:p>
    <w:p w14:paraId="70F13DA8" w14:textId="2A67AE21" w:rsidR="002D2B57" w:rsidRDefault="002D2B57" w:rsidP="00065472">
      <w:r w:rsidRPr="006F3D74">
        <w:t>Un groupe de travail avec des responsables des services certification dans le</w:t>
      </w:r>
      <w:r w:rsidR="00D73564">
        <w:t>s ex-</w:t>
      </w:r>
      <w:r w:rsidRPr="006F3D74">
        <w:t>DRJSCS</w:t>
      </w:r>
      <w:r w:rsidR="00065472">
        <w:t xml:space="preserve"> a</w:t>
      </w:r>
      <w:r w:rsidR="00A14357">
        <w:t xml:space="preserve"> conduit à formuler</w:t>
      </w:r>
      <w:r w:rsidR="00065472">
        <w:t xml:space="preserve"> des propositions</w:t>
      </w:r>
      <w:r w:rsidR="008D1CF2">
        <w:t xml:space="preserve"> </w:t>
      </w:r>
      <w:r w:rsidR="003F709D">
        <w:t xml:space="preserve">fin mai </w:t>
      </w:r>
      <w:r w:rsidR="008D1CF2">
        <w:t>qui restent à instruire et arbitrer :</w:t>
      </w:r>
      <w:r w:rsidR="0034715D">
        <w:t xml:space="preserve"> </w:t>
      </w:r>
    </w:p>
    <w:p w14:paraId="007FAD09" w14:textId="7F5392CF" w:rsidR="008D1CF2" w:rsidRPr="00A14357" w:rsidRDefault="008D1CF2" w:rsidP="00065472">
      <w:pPr>
        <w:rPr>
          <w:i/>
          <w:color w:val="FF0000"/>
        </w:rPr>
      </w:pPr>
      <w:r w:rsidRPr="00A14357">
        <w:rPr>
          <w:i/>
          <w:color w:val="FF0000"/>
        </w:rPr>
        <w:t xml:space="preserve">Dans l’immédiat : </w:t>
      </w:r>
    </w:p>
    <w:p w14:paraId="71D75675" w14:textId="77777777" w:rsidR="0034715D" w:rsidRDefault="0034715D" w:rsidP="0034715D">
      <w:pPr>
        <w:pStyle w:val="Paragraphedeliste"/>
        <w:numPr>
          <w:ilvl w:val="0"/>
          <w:numId w:val="2"/>
        </w:numPr>
      </w:pPr>
      <w:r>
        <w:t>Pérenniser la possibilité de tenir</w:t>
      </w:r>
      <w:r w:rsidR="007E0158">
        <w:t xml:space="preserve"> des </w:t>
      </w:r>
      <w:r>
        <w:t>jury</w:t>
      </w:r>
      <w:r w:rsidR="007E0158">
        <w:t>s intermédiaires</w:t>
      </w:r>
      <w:r>
        <w:t xml:space="preserve">, notamment </w:t>
      </w:r>
      <w:r w:rsidR="006F3D74">
        <w:t>en réalisant</w:t>
      </w:r>
      <w:r>
        <w:t xml:space="preserve"> un</w:t>
      </w:r>
      <w:r w:rsidR="007E0158">
        <w:t>e partie d’entre eux à distance ;</w:t>
      </w:r>
      <w:r>
        <w:t xml:space="preserve"> </w:t>
      </w:r>
    </w:p>
    <w:p w14:paraId="1F8AC2B0" w14:textId="64CC89E6" w:rsidR="008D1CF2" w:rsidRDefault="008D1CF2" w:rsidP="0034715D">
      <w:pPr>
        <w:pStyle w:val="Paragraphedeliste"/>
        <w:numPr>
          <w:ilvl w:val="0"/>
          <w:numId w:val="2"/>
        </w:numPr>
      </w:pPr>
      <w:r>
        <w:t>Simplifier, forfaitiser et augmenter les modalités d’indemnisation des jurys ;</w:t>
      </w:r>
    </w:p>
    <w:p w14:paraId="15D31C2B" w14:textId="67671BCF" w:rsidR="008D1CF2" w:rsidRDefault="008D1CF2" w:rsidP="0034715D">
      <w:pPr>
        <w:pStyle w:val="Paragraphedeliste"/>
        <w:numPr>
          <w:ilvl w:val="0"/>
          <w:numId w:val="2"/>
        </w:numPr>
      </w:pPr>
      <w:r>
        <w:lastRenderedPageBreak/>
        <w:t xml:space="preserve">Créer une possibilité pour les salariés du privé de mobiliser un quantum de temps de travail annuel pour prendre part à des jurys (certaines personnes sont contraintes de prendre des congés) ; </w:t>
      </w:r>
    </w:p>
    <w:p w14:paraId="79A2C556" w14:textId="5429CE07" w:rsidR="00A14357" w:rsidRDefault="008D1CF2" w:rsidP="008D1CF2">
      <w:pPr>
        <w:rPr>
          <w:i/>
          <w:color w:val="FF0000"/>
        </w:rPr>
      </w:pPr>
      <w:r w:rsidRPr="00A14357">
        <w:rPr>
          <w:i/>
          <w:color w:val="FF0000"/>
        </w:rPr>
        <w:t xml:space="preserve">Plus fondamentalement, proposition est faite de mandater une mission qui pourrait revoir les contours de la mission régalienne de certification et </w:t>
      </w:r>
      <w:r w:rsidR="00A14357" w:rsidRPr="00A14357">
        <w:rPr>
          <w:i/>
          <w:color w:val="FF0000"/>
        </w:rPr>
        <w:t>proposer</w:t>
      </w:r>
      <w:r w:rsidRPr="00A14357">
        <w:rPr>
          <w:i/>
          <w:color w:val="FF0000"/>
        </w:rPr>
        <w:t>, au regard des mo</w:t>
      </w:r>
      <w:r w:rsidR="00A14357" w:rsidRPr="00A14357">
        <w:rPr>
          <w:i/>
          <w:color w:val="FF0000"/>
        </w:rPr>
        <w:t xml:space="preserve">yens restant à ces services, le périmètre sur lequel ils concentrent leurs moyens et ce qui est délégué à d’autres parties prenantes. </w:t>
      </w:r>
    </w:p>
    <w:p w14:paraId="597A5DCE" w14:textId="66B61B2D" w:rsidR="00821B7A" w:rsidRDefault="003F709D" w:rsidP="003F709D">
      <w:pPr>
        <w:pStyle w:val="Titre2"/>
      </w:pPr>
      <w:bookmarkStart w:id="14" w:name="_Toc77328917"/>
      <w:r>
        <w:t>Accélérer la convergence des 82 titres et certifications du champ</w:t>
      </w:r>
      <w:bookmarkEnd w:id="14"/>
    </w:p>
    <w:p w14:paraId="3BF3EF33" w14:textId="27FF38E1" w:rsidR="00B34DDF" w:rsidRDefault="003F709D" w:rsidP="003F709D">
      <w:r>
        <w:t>France compétence a réalisé un rapport sur les titres et certifications du secteur</w:t>
      </w:r>
      <w:r w:rsidR="00B34DDF">
        <w:rPr>
          <w:rStyle w:val="Appelnotedebasdep"/>
        </w:rPr>
        <w:footnoteReference w:id="12"/>
      </w:r>
      <w:r>
        <w:t>. Au nombre de 82, ils sont rapportés à 12 métiers.</w:t>
      </w:r>
      <w:r w:rsidR="00B34DDF">
        <w:t xml:space="preserve"> La moitié</w:t>
      </w:r>
      <w:r w:rsidR="00E42B87">
        <w:t xml:space="preserve"> des titres sont portés par des ministères.</w:t>
      </w:r>
      <w:r>
        <w:t xml:space="preserve"> </w:t>
      </w:r>
      <w:r w:rsidR="00E42B87">
        <w:t>Un travail de simplification est prévu</w:t>
      </w:r>
      <w:r w:rsidR="00B34DDF">
        <w:t xml:space="preserve"> dans le cadre d</w:t>
      </w:r>
      <w:r w:rsidR="00E42B87">
        <w:t>u projet d’</w:t>
      </w:r>
      <w:r w:rsidR="00B34DDF">
        <w:t>EDEC associant les 5 branches concernées (BASS, FPH, BAD, ESAP et le particulier employeur)</w:t>
      </w:r>
      <w:r w:rsidR="00E42B87">
        <w:t xml:space="preserve"> qui devrait être s</w:t>
      </w:r>
      <w:r w:rsidR="00A56674">
        <w:t xml:space="preserve">igné </w:t>
      </w:r>
      <w:r w:rsidR="00D73564">
        <w:t>en septembre</w:t>
      </w:r>
      <w:r w:rsidR="00E42B87">
        <w:t xml:space="preserve"> 2021</w:t>
      </w:r>
      <w:r w:rsidR="00D73564">
        <w:t xml:space="preserve"> – il sera approuvé officiellement le 23 juillet par l’ensemble des partenaires sociaux des branches concernées</w:t>
      </w:r>
      <w:r w:rsidR="00E42B87">
        <w:t xml:space="preserve">. </w:t>
      </w:r>
    </w:p>
    <w:p w14:paraId="733D7A37" w14:textId="6AFC2CB6" w:rsidR="003F709D" w:rsidRDefault="00B34DDF" w:rsidP="003F709D">
      <w:pPr>
        <w:rPr>
          <w:i/>
          <w:color w:val="FF0000"/>
        </w:rPr>
      </w:pPr>
      <w:r>
        <w:rPr>
          <w:i/>
          <w:color w:val="FF0000"/>
        </w:rPr>
        <w:t>U</w:t>
      </w:r>
      <w:r w:rsidR="003F709D">
        <w:rPr>
          <w:i/>
          <w:color w:val="FF0000"/>
        </w:rPr>
        <w:t xml:space="preserve">n plan d’action volontariste pourrait être initié </w:t>
      </w:r>
      <w:r w:rsidR="00E42B87">
        <w:rPr>
          <w:i/>
          <w:color w:val="FF0000"/>
        </w:rPr>
        <w:t xml:space="preserve">sans attendre l’issue de l’EDEC, </w:t>
      </w:r>
      <w:r w:rsidR="003F709D">
        <w:rPr>
          <w:i/>
          <w:color w:val="FF0000"/>
        </w:rPr>
        <w:t>pour créer, grâce aux reformulations progressives des référentiels en blocs de compétences, les équivalences entre ces qualifications pour fluidifier les parcours des personnes ayant choisi les métiers de l’autonomie.</w:t>
      </w:r>
    </w:p>
    <w:p w14:paraId="0F98E9B2" w14:textId="7CDC0292" w:rsidR="003F709D" w:rsidRDefault="00A56674" w:rsidP="003F709D">
      <w:pPr>
        <w:rPr>
          <w:i/>
          <w:color w:val="FF0000"/>
        </w:rPr>
      </w:pPr>
      <w:r>
        <w:rPr>
          <w:i/>
          <w:color w:val="FF0000"/>
        </w:rPr>
        <w:t>Cette étape permettra</w:t>
      </w:r>
      <w:r w:rsidR="003F709D">
        <w:rPr>
          <w:i/>
          <w:color w:val="FF0000"/>
        </w:rPr>
        <w:t xml:space="preserve"> de mieux prendre en compte l’ensemble des qualifications et des expériences professionnelles</w:t>
      </w:r>
      <w:r w:rsidR="00B34DDF">
        <w:rPr>
          <w:i/>
          <w:color w:val="FF0000"/>
        </w:rPr>
        <w:t xml:space="preserve">. </w:t>
      </w:r>
    </w:p>
    <w:p w14:paraId="1536C850" w14:textId="2C639629" w:rsidR="00E42B87" w:rsidRDefault="00E42B87" w:rsidP="00E42B87">
      <w:pPr>
        <w:pStyle w:val="Titre2"/>
      </w:pPr>
      <w:bookmarkStart w:id="15" w:name="_Toc77328918"/>
      <w:r>
        <w:t>Une étape critique dans le rapprochement des conventions collectives qui compensent la BASS</w:t>
      </w:r>
      <w:bookmarkEnd w:id="15"/>
    </w:p>
    <w:p w14:paraId="038464D6" w14:textId="34DBDEBC" w:rsidR="00E42B87" w:rsidRDefault="00E42B87" w:rsidP="00E42B87">
      <w:r>
        <w:t>Les négociations conduites par la mission Laforcade dans la suite des accords du Ségur pour prendre en compte les salariés et agents qui ne l’avaient pas été</w:t>
      </w:r>
      <w:r w:rsidR="001C24AA">
        <w:t>,</w:t>
      </w:r>
      <w:r>
        <w:t xml:space="preserve"> ont conduit à </w:t>
      </w:r>
      <w:r w:rsidR="001C24AA">
        <w:t xml:space="preserve">la signature de </w:t>
      </w:r>
      <w:r>
        <w:t>plusieurs accords. Pour le champ du handicap, les personnels soignants ont été pris en compte</w:t>
      </w:r>
      <w:r w:rsidR="001C24AA">
        <w:t xml:space="preserve"> et se verront attribuer le CTI</w:t>
      </w:r>
      <w:r>
        <w:t xml:space="preserve"> ; </w:t>
      </w:r>
      <w:r w:rsidR="001C24AA">
        <w:t xml:space="preserve">en revanche, </w:t>
      </w:r>
      <w:r>
        <w:t>les personnels dédiés à l’accompagnement le seront en contrepartie de gages tangibles offerts par les partenaires sociaux, d’av</w:t>
      </w:r>
      <w:r w:rsidR="001C24AA">
        <w:t xml:space="preserve">oir franchi des étapes irréversibles dans le rapprochement conventionnel. </w:t>
      </w:r>
    </w:p>
    <w:p w14:paraId="1DCBF76F" w14:textId="77777777" w:rsidR="005F3C3B" w:rsidRDefault="001C24AA" w:rsidP="00E42B87">
      <w:r>
        <w:t>Un groupe paritaire, associant toutes les parties prenantes, travaille sur les métiers de l’accompagnement et dégage progressivement des principes communs pour définir ces métiers</w:t>
      </w:r>
      <w:r w:rsidR="00A46B63">
        <w:t xml:space="preserve"> en termes de classification et de rémunération. Ils prennent en compte l’ancienneté, la qualification et cherchent à offrir une certaine flexibilité pour contextualiser les emplois en fonction des conditions d’exercice. Ces principes auront vocation à être transverses et à s’appliquer à tous les métiers. Ils doivent évaluer le besoin en financement associé. </w:t>
      </w:r>
    </w:p>
    <w:p w14:paraId="6E81B206" w14:textId="6DA63F01" w:rsidR="00A46B63" w:rsidRDefault="00A46B63" w:rsidP="00E42B87">
      <w:pPr>
        <w:rPr>
          <w:i/>
          <w:color w:val="FF0000"/>
        </w:rPr>
      </w:pPr>
      <w:r w:rsidRPr="00A46B63">
        <w:rPr>
          <w:i/>
          <w:color w:val="FF0000"/>
        </w:rPr>
        <w:t>Pour</w:t>
      </w:r>
      <w:r>
        <w:rPr>
          <w:i/>
          <w:color w:val="FF0000"/>
        </w:rPr>
        <w:t xml:space="preserve"> soutenir cette démarche, les financements qui pourraient être apportés à la branche </w:t>
      </w:r>
      <w:r w:rsidR="00187851">
        <w:rPr>
          <w:i/>
          <w:color w:val="FF0000"/>
        </w:rPr>
        <w:t>correspondront idéalement</w:t>
      </w:r>
      <w:r>
        <w:rPr>
          <w:i/>
          <w:color w:val="FF0000"/>
        </w:rPr>
        <w:t xml:space="preserve"> au financeme</w:t>
      </w:r>
      <w:r w:rsidR="00187851">
        <w:rPr>
          <w:i/>
          <w:color w:val="FF0000"/>
        </w:rPr>
        <w:t>nt de la future classification ; s’ils étaient alloués de façon catégorielle, aux seuls personnels accompagnants, l’ensemble de la démarche</w:t>
      </w:r>
      <w:r w:rsidR="0083524F">
        <w:rPr>
          <w:i/>
          <w:color w:val="FF0000"/>
        </w:rPr>
        <w:t xml:space="preserve"> de convergence serait invalidé</w:t>
      </w:r>
      <w:r w:rsidR="00187851">
        <w:rPr>
          <w:i/>
          <w:color w:val="FF0000"/>
        </w:rPr>
        <w:t xml:space="preserve">. </w:t>
      </w:r>
    </w:p>
    <w:p w14:paraId="6097ABD4" w14:textId="77777777" w:rsidR="00A56674" w:rsidRPr="00A46B63" w:rsidRDefault="00A56674" w:rsidP="00A56674"/>
    <w:p w14:paraId="00119B56" w14:textId="77777777" w:rsidR="005F3C3B" w:rsidRDefault="005F3C3B">
      <w:pPr>
        <w:spacing w:after="160" w:line="259" w:lineRule="auto"/>
        <w:jc w:val="left"/>
        <w:rPr>
          <w:rFonts w:asciiTheme="majorHAnsi" w:eastAsiaTheme="majorEastAsia" w:hAnsiTheme="majorHAnsi" w:cstheme="majorBidi"/>
          <w:color w:val="2E74B5" w:themeColor="accent1" w:themeShade="BF"/>
          <w:sz w:val="32"/>
          <w:szCs w:val="32"/>
        </w:rPr>
      </w:pPr>
      <w:r>
        <w:br w:type="page"/>
      </w:r>
    </w:p>
    <w:p w14:paraId="17491321" w14:textId="6AA6121C" w:rsidR="00F62CAC" w:rsidRPr="000B53FE" w:rsidRDefault="00F62CAC" w:rsidP="00F62CAC">
      <w:pPr>
        <w:pStyle w:val="Titre1"/>
      </w:pPr>
      <w:bookmarkStart w:id="16" w:name="_Toc77328919"/>
      <w:r w:rsidRPr="000B53FE">
        <w:lastRenderedPageBreak/>
        <w:t xml:space="preserve">Améliorer la qualité de vie au travail et lutter contre la sinistralité : double </w:t>
      </w:r>
      <w:r w:rsidR="00A84D94">
        <w:t>action</w:t>
      </w:r>
      <w:r w:rsidRPr="000B53FE">
        <w:t xml:space="preserve"> pour attirer de nouveaux professionnels et </w:t>
      </w:r>
      <w:r w:rsidR="00A84D94">
        <w:t>limiter</w:t>
      </w:r>
      <w:r w:rsidRPr="000B53FE">
        <w:t xml:space="preserve"> les départs</w:t>
      </w:r>
      <w:bookmarkEnd w:id="16"/>
    </w:p>
    <w:p w14:paraId="696FA749" w14:textId="5D13299D" w:rsidR="00D77D4B" w:rsidRPr="000B53FE" w:rsidRDefault="00D77D4B" w:rsidP="00D77D4B">
      <w:pPr>
        <w:rPr>
          <w:b/>
        </w:rPr>
      </w:pPr>
      <w:r w:rsidRPr="000B53FE">
        <w:t xml:space="preserve">Le secteur de l’autonomie est marqué par une forte sinistralité, avec un indice de fréquence des AT-MP trois fois supérieur à la moyenne, un absentéisme et un turn-over élevés. </w:t>
      </w:r>
      <w:r w:rsidRPr="008E5586">
        <w:t xml:space="preserve">Mener des actions fortes pour réduire la sinistralité et améliorer la qualité de vie au travail des professionnels de l’autonomie est un impératif pour faciliter les </w:t>
      </w:r>
      <w:r w:rsidR="00BA7402" w:rsidRPr="008E5586">
        <w:t xml:space="preserve">260 000 </w:t>
      </w:r>
      <w:r w:rsidRPr="008E5586">
        <w:t>recrutements AS et AES à opérer d’ici 2025.</w:t>
      </w:r>
      <w:r w:rsidRPr="000B53FE">
        <w:rPr>
          <w:b/>
        </w:rPr>
        <w:t xml:space="preserve">  </w:t>
      </w:r>
    </w:p>
    <w:p w14:paraId="7B71949A" w14:textId="60800C1D" w:rsidR="00D77D4B" w:rsidRPr="000B53FE" w:rsidRDefault="00D77D4B" w:rsidP="00D77D4B">
      <w:pPr>
        <w:pStyle w:val="Titre2"/>
      </w:pPr>
      <w:bookmarkStart w:id="17" w:name="_Toc77328920"/>
      <w:r w:rsidRPr="000B53FE">
        <w:t>Les actions déjà engagées</w:t>
      </w:r>
      <w:r w:rsidR="00CD429A">
        <w:t xml:space="preserve"> et leurs limites</w:t>
      </w:r>
      <w:bookmarkEnd w:id="17"/>
    </w:p>
    <w:p w14:paraId="5A4367B1" w14:textId="77777777" w:rsidR="008B7D73" w:rsidRDefault="00CD429A" w:rsidP="00CD429A">
      <w:r>
        <w:t xml:space="preserve">La </w:t>
      </w:r>
      <w:r w:rsidR="00D77D4B" w:rsidRPr="000B53FE">
        <w:t xml:space="preserve">Stratégie nationale QVT </w:t>
      </w:r>
      <w:r>
        <w:t>lancée en juin 2018</w:t>
      </w:r>
      <w:r>
        <w:rPr>
          <w:rStyle w:val="Appelnotedebasdep"/>
        </w:rPr>
        <w:footnoteReference w:id="13"/>
      </w:r>
      <w:r>
        <w:t xml:space="preserve"> a conduit</w:t>
      </w:r>
      <w:r w:rsidR="00D77D4B" w:rsidRPr="000B53FE">
        <w:t xml:space="preserve"> </w:t>
      </w:r>
      <w:r w:rsidR="008B7D73">
        <w:t xml:space="preserve">notamment à : </w:t>
      </w:r>
    </w:p>
    <w:p w14:paraId="1ED73846" w14:textId="38B07957" w:rsidR="00A84D94" w:rsidRDefault="003956E1" w:rsidP="00963734">
      <w:pPr>
        <w:pStyle w:val="Paragraphedeliste"/>
        <w:numPr>
          <w:ilvl w:val="0"/>
          <w:numId w:val="15"/>
        </w:numPr>
      </w:pPr>
      <w:r>
        <w:t>L</w:t>
      </w:r>
      <w:r w:rsidR="008B7D73">
        <w:t xml:space="preserve">a </w:t>
      </w:r>
      <w:r w:rsidR="00D77D4B" w:rsidRPr="000B53FE">
        <w:t>mise en place de l’Observatoire national de la qua</w:t>
      </w:r>
      <w:r w:rsidR="00AC02C4">
        <w:t>lité de vie au travail (ONQVT)</w:t>
      </w:r>
      <w:r w:rsidR="00A84D94">
        <w:t>.</w:t>
      </w:r>
      <w:r w:rsidR="009E05ED">
        <w:t xml:space="preserve"> </w:t>
      </w:r>
      <w:r w:rsidR="00A84D94" w:rsidRPr="00A84D94">
        <w:rPr>
          <w:i/>
          <w:color w:val="FF0000"/>
        </w:rPr>
        <w:t>Le président de l’ONQVT a rencontré Olivier Véran le 5 juillet pour solliciter des moyens pour réaliser son plan de travail ;</w:t>
      </w:r>
    </w:p>
    <w:p w14:paraId="42F43C8B" w14:textId="00DD2055" w:rsidR="008B7D73" w:rsidRDefault="00A84D94" w:rsidP="00963734">
      <w:pPr>
        <w:pStyle w:val="Paragraphedeliste"/>
        <w:numPr>
          <w:ilvl w:val="0"/>
          <w:numId w:val="15"/>
        </w:numPr>
      </w:pPr>
      <w:r>
        <w:t>La mise en place</w:t>
      </w:r>
      <w:r w:rsidR="009E05ED">
        <w:t xml:space="preserve"> de </w:t>
      </w:r>
      <w:r w:rsidR="00AC02C4">
        <w:t>référents QVT dans les ARS</w:t>
      </w:r>
      <w:r w:rsidR="009E05ED">
        <w:t>, animé par la DGCS et la DGOS</w:t>
      </w:r>
      <w:r w:rsidR="005C22E3">
        <w:t xml:space="preserve">. </w:t>
      </w:r>
      <w:r>
        <w:rPr>
          <w:i/>
          <w:color w:val="FF0000"/>
        </w:rPr>
        <w:t>U</w:t>
      </w:r>
      <w:r w:rsidR="005C22E3" w:rsidRPr="00A84D94">
        <w:rPr>
          <w:i/>
          <w:color w:val="FF0000"/>
        </w:rPr>
        <w:t>n</w:t>
      </w:r>
      <w:r w:rsidR="005C22E3">
        <w:t xml:space="preserve"> </w:t>
      </w:r>
      <w:r w:rsidR="009E05ED" w:rsidRPr="00A84D94">
        <w:rPr>
          <w:i/>
          <w:color w:val="FF0000"/>
        </w:rPr>
        <w:t xml:space="preserve">bilan </w:t>
      </w:r>
      <w:r>
        <w:rPr>
          <w:i/>
          <w:color w:val="FF0000"/>
        </w:rPr>
        <w:t xml:space="preserve">de l’animation et des réalisations du réseau des référents QVT est </w:t>
      </w:r>
      <w:r w:rsidR="009E05ED" w:rsidRPr="00A84D94">
        <w:rPr>
          <w:i/>
          <w:color w:val="FF0000"/>
        </w:rPr>
        <w:t xml:space="preserve">prévu en septembre </w:t>
      </w:r>
      <w:r w:rsidR="00DA5CEF" w:rsidRPr="00A84D94">
        <w:rPr>
          <w:i/>
          <w:color w:val="FF0000"/>
        </w:rPr>
        <w:t xml:space="preserve">2021, il permettra notamment de vérifier si ce dispositif fonctionne et comment il pourrait être amélioré. </w:t>
      </w:r>
    </w:p>
    <w:p w14:paraId="7EF7FF96" w14:textId="55A00F19" w:rsidR="009E05ED" w:rsidRDefault="008E5586" w:rsidP="009E05ED">
      <w:pPr>
        <w:pStyle w:val="Paragraphedeliste"/>
        <w:numPr>
          <w:ilvl w:val="0"/>
          <w:numId w:val="15"/>
        </w:numPr>
      </w:pPr>
      <w:r>
        <w:t>L’apport d’un</w:t>
      </w:r>
      <w:r w:rsidR="00D77D4B" w:rsidRPr="000B53FE">
        <w:t xml:space="preserve"> soutien financier de la CNSA et des ARS </w:t>
      </w:r>
      <w:r w:rsidR="00A84D94">
        <w:t>pour le</w:t>
      </w:r>
      <w:r w:rsidR="00AC02C4">
        <w:t xml:space="preserve"> développement d’action</w:t>
      </w:r>
      <w:r w:rsidR="00A84D94">
        <w:t>s</w:t>
      </w:r>
      <w:r w:rsidR="00AC02C4">
        <w:t xml:space="preserve"> en faveur de</w:t>
      </w:r>
      <w:r w:rsidR="00D77D4B" w:rsidRPr="000B53FE">
        <w:t xml:space="preserve"> la QVT </w:t>
      </w:r>
      <w:r w:rsidR="00AC02C4">
        <w:t xml:space="preserve">dans les structures du secteur </w:t>
      </w:r>
      <w:r w:rsidR="00D77D4B" w:rsidRPr="000B53FE">
        <w:t>(formations, aides techniques, organisations innovantes, outils méthodologiques, etc.)</w:t>
      </w:r>
      <w:r w:rsidR="009E05ED">
        <w:t>.</w:t>
      </w:r>
      <w:r w:rsidR="008B7D73">
        <w:t xml:space="preserve"> </w:t>
      </w:r>
      <w:r w:rsidR="009E05ED">
        <w:t>M</w:t>
      </w:r>
      <w:r w:rsidR="008B7D73">
        <w:t>alheureusement, concernant les ARS, il s’agissait de crédits non reconductibles</w:t>
      </w:r>
      <w:r w:rsidR="00E35C09">
        <w:t> :</w:t>
      </w:r>
      <w:r w:rsidR="00DA5CEF">
        <w:t xml:space="preserve"> </w:t>
      </w:r>
      <w:r w:rsidR="00E35C09">
        <w:rPr>
          <w:i/>
          <w:color w:val="FF0000"/>
        </w:rPr>
        <w:t>étudier la possibilité d’inscrire des crédits pérennes pour</w:t>
      </w:r>
      <w:r w:rsidR="00DA5CEF">
        <w:rPr>
          <w:i/>
          <w:color w:val="FF0000"/>
        </w:rPr>
        <w:t xml:space="preserve"> conduire des démarches dans la durée</w:t>
      </w:r>
      <w:r w:rsidR="00763ECE">
        <w:rPr>
          <w:i/>
          <w:color w:val="FF0000"/>
        </w:rPr>
        <w:t>, idéalement prévues dans les CPOM comme ont commencé à l’initier certaines ARS (Centre Val de Loire)</w:t>
      </w:r>
      <w:r w:rsidR="00E35C09">
        <w:rPr>
          <w:i/>
          <w:color w:val="FF0000"/>
        </w:rPr>
        <w:t xml:space="preserve">. </w:t>
      </w:r>
    </w:p>
    <w:p w14:paraId="41C2DCDA" w14:textId="25B36BF5" w:rsidR="00AC02C4" w:rsidRPr="00E35C09" w:rsidRDefault="003956E1" w:rsidP="009E05ED">
      <w:pPr>
        <w:pStyle w:val="Paragraphedeliste"/>
        <w:numPr>
          <w:ilvl w:val="0"/>
          <w:numId w:val="15"/>
        </w:numPr>
        <w:rPr>
          <w:i/>
          <w:color w:val="FF0000"/>
        </w:rPr>
      </w:pPr>
      <w:r>
        <w:t>A</w:t>
      </w:r>
      <w:r w:rsidR="00AC02C4">
        <w:t xml:space="preserve"> l’e</w:t>
      </w:r>
      <w:r w:rsidR="00AC02C4" w:rsidRPr="000B53FE">
        <w:t>xpérimentation d’Actions Collectives Innovantes et Apprenantes (ACIA)</w:t>
      </w:r>
      <w:r w:rsidR="00AC02C4">
        <w:t xml:space="preserve"> dans près de 300 établissements médico-sociaux</w:t>
      </w:r>
      <w:r w:rsidR="009E05ED">
        <w:t>.</w:t>
      </w:r>
      <w:r w:rsidR="00AC02C4" w:rsidRPr="000B53FE">
        <w:t xml:space="preserve"> </w:t>
      </w:r>
      <w:r w:rsidR="009E05ED">
        <w:t xml:space="preserve">Un </w:t>
      </w:r>
      <w:r w:rsidR="00AC02C4" w:rsidRPr="000B53FE">
        <w:t xml:space="preserve">appui à la mise en place de démarches de QVT </w:t>
      </w:r>
      <w:r w:rsidR="009E05ED">
        <w:t xml:space="preserve">a été apporté à </w:t>
      </w:r>
      <w:r w:rsidR="00AC02C4" w:rsidRPr="000B53FE">
        <w:t xml:space="preserve">des groupes d’EHPAD </w:t>
      </w:r>
      <w:r w:rsidR="00AC02C4">
        <w:t>et d</w:t>
      </w:r>
      <w:r w:rsidR="009E05ED">
        <w:t xml:space="preserve">’établissements pour </w:t>
      </w:r>
      <w:r w:rsidR="00AC02C4">
        <w:t>personnes handicapées</w:t>
      </w:r>
      <w:r w:rsidR="009E05ED">
        <w:t xml:space="preserve"> qui s’engageaient</w:t>
      </w:r>
      <w:r w:rsidR="00AC02C4">
        <w:t xml:space="preserve"> </w:t>
      </w:r>
      <w:r w:rsidR="009E05ED">
        <w:t>volontairement</w:t>
      </w:r>
      <w:r w:rsidR="00AC02C4">
        <w:t>,</w:t>
      </w:r>
      <w:r w:rsidR="00AC02C4" w:rsidRPr="000B53FE">
        <w:t xml:space="preserve"> avec le soutien de l’ANACT (guide méthodolo</w:t>
      </w:r>
      <w:r w:rsidR="00E35C09">
        <w:t xml:space="preserve">gique de capitalisation livré). </w:t>
      </w:r>
      <w:r w:rsidR="00E35C09" w:rsidRPr="00E35C09">
        <w:rPr>
          <w:i/>
          <w:color w:val="FF0000"/>
        </w:rPr>
        <w:t>Cela va conduire au</w:t>
      </w:r>
      <w:r w:rsidR="00AC02C4" w:rsidRPr="00E35C09">
        <w:rPr>
          <w:i/>
          <w:color w:val="FF0000"/>
        </w:rPr>
        <w:t xml:space="preserve"> lancement en 2021 d’un AAP DGOS « Qualité de vie au travail et nouvelles technologies »</w:t>
      </w:r>
      <w:r w:rsidR="00763ECE">
        <w:rPr>
          <w:i/>
          <w:color w:val="FF0000"/>
        </w:rPr>
        <w:t>, ce qui ne correspond cependant pas à un passage à l’échelle</w:t>
      </w:r>
      <w:r w:rsidR="00A84D94">
        <w:rPr>
          <w:i/>
          <w:color w:val="FF0000"/>
        </w:rPr>
        <w:t xml:space="preserve"> pourtant nécessaire</w:t>
      </w:r>
      <w:r w:rsidR="00763ECE">
        <w:rPr>
          <w:i/>
          <w:color w:val="FF0000"/>
        </w:rPr>
        <w:t xml:space="preserve">. </w:t>
      </w:r>
    </w:p>
    <w:p w14:paraId="01E51A98" w14:textId="39D0242A" w:rsidR="00D77D4B" w:rsidRPr="000B53FE" w:rsidRDefault="00D77D4B" w:rsidP="008B7D73">
      <w:pPr>
        <w:ind w:left="66"/>
      </w:pPr>
      <w:r w:rsidRPr="000B53FE">
        <w:t>La DSS propose de rénover substantiellement l’offre</w:t>
      </w:r>
      <w:r w:rsidR="008B7D73">
        <w:t xml:space="preserve"> de prévention dans ce secteur. Elle propose</w:t>
      </w:r>
      <w:r w:rsidR="00AC02C4">
        <w:t xml:space="preserve"> pour cela</w:t>
      </w:r>
      <w:r w:rsidR="008B7D73">
        <w:t xml:space="preserve"> un </w:t>
      </w:r>
      <w:r w:rsidRPr="000B53FE">
        <w:t>effort financier inédit de la branche</w:t>
      </w:r>
      <w:r w:rsidR="00AC02C4">
        <w:t>,</w:t>
      </w:r>
      <w:r w:rsidRPr="000B53FE">
        <w:t xml:space="preserve"> avec une enveloppe</w:t>
      </w:r>
      <w:r w:rsidR="00AC02C4">
        <w:t xml:space="preserve"> dédiée 2021-2024 de 50 M€ et </w:t>
      </w:r>
      <w:r w:rsidRPr="000B53FE">
        <w:t>l’ouverture des aides aux entr</w:t>
      </w:r>
      <w:r w:rsidR="00AC02C4">
        <w:t xml:space="preserve">eprises de plus de 200 salariés. L’évolution de </w:t>
      </w:r>
      <w:r w:rsidRPr="000B53FE">
        <w:t>la tarification AT-MP dans ce secteur</w:t>
      </w:r>
      <w:r w:rsidR="00AC02C4">
        <w:t xml:space="preserve"> jusqu’à présent collective, pourrait devenir individuelle</w:t>
      </w:r>
      <w:r w:rsidRPr="000B53FE">
        <w:t xml:space="preserve"> p</w:t>
      </w:r>
      <w:r w:rsidR="005855CF">
        <w:t>our la rendre plus incitative</w:t>
      </w:r>
      <w:r w:rsidR="00AC02C4">
        <w:t xml:space="preserve"> pour les employeurs à prendre des mesures.</w:t>
      </w:r>
      <w:r w:rsidR="005855CF">
        <w:t> </w:t>
      </w:r>
      <w:r w:rsidR="00AC02C4">
        <w:t>L</w:t>
      </w:r>
      <w:r w:rsidR="005855CF" w:rsidRPr="00E35C09">
        <w:t xml:space="preserve">e calendrier </w:t>
      </w:r>
      <w:r w:rsidR="00AC02C4" w:rsidRPr="00E35C09">
        <w:t>de cette dernière mesure, critique pour les structures qui pourraient voir basculer leur fragile équilibre économique dans le domicile en particulier, devra être conçu avec soin, pour leur laisser l’opportunité de s’y préparer.</w:t>
      </w:r>
      <w:r w:rsidR="00AC02C4">
        <w:rPr>
          <w:i/>
          <w:color w:val="FF0000"/>
        </w:rPr>
        <w:t xml:space="preserve"> L</w:t>
      </w:r>
      <w:r w:rsidR="005855CF" w:rsidRPr="008B7D73">
        <w:rPr>
          <w:i/>
          <w:color w:val="FF0000"/>
        </w:rPr>
        <w:t>e</w:t>
      </w:r>
      <w:r w:rsidR="00AC02C4">
        <w:rPr>
          <w:i/>
          <w:color w:val="FF0000"/>
        </w:rPr>
        <w:t xml:space="preserve">s arbitrages restent à prendre ; la partie financière </w:t>
      </w:r>
      <w:r w:rsidR="00A84D94">
        <w:rPr>
          <w:i/>
          <w:color w:val="FF0000"/>
        </w:rPr>
        <w:t>est</w:t>
      </w:r>
      <w:r w:rsidR="00AC02C4">
        <w:rPr>
          <w:i/>
          <w:color w:val="FF0000"/>
        </w:rPr>
        <w:t xml:space="preserve"> examinée dans le cadre du PLFSS. </w:t>
      </w:r>
    </w:p>
    <w:p w14:paraId="52E1EC6A" w14:textId="06EB7B5C" w:rsidR="00DA5CEF" w:rsidRDefault="00B13E1C" w:rsidP="00DA5CEF">
      <w:pPr>
        <w:pStyle w:val="Titre2"/>
      </w:pPr>
      <w:bookmarkStart w:id="18" w:name="_Toc77328921"/>
      <w:r>
        <w:t>Quatre</w:t>
      </w:r>
      <w:r w:rsidR="00D77D4B" w:rsidRPr="008F0E1A">
        <w:t xml:space="preserve"> axes d’action structurants pour ancrer la QVT/sinistralité dans le</w:t>
      </w:r>
      <w:r w:rsidR="00CC1F82">
        <w:t>s pratiques managériales</w:t>
      </w:r>
      <w:r w:rsidR="00D77D4B" w:rsidRPr="008F0E1A">
        <w:t xml:space="preserve"> des structures</w:t>
      </w:r>
      <w:bookmarkEnd w:id="18"/>
    </w:p>
    <w:p w14:paraId="62E64C05" w14:textId="38A3F67D" w:rsidR="00CF450E" w:rsidRPr="00DA446B" w:rsidRDefault="00CF450E" w:rsidP="00763ECE">
      <w:pPr>
        <w:rPr>
          <w:i/>
          <w:color w:val="FF0000"/>
        </w:rPr>
      </w:pPr>
      <w:r>
        <w:t>Le management des établissements et service</w:t>
      </w:r>
      <w:r w:rsidR="00CC1F82">
        <w:t>s</w:t>
      </w:r>
      <w:r>
        <w:t xml:space="preserve"> du secteur sanitaire, social et médico-social est globalement peu la cible de politiques publiques. Il représente pourtant la pierre angulaire de la qualité de vie au travail qui commen</w:t>
      </w:r>
      <w:r w:rsidR="0004260E">
        <w:t>ce par un management de qualité.</w:t>
      </w:r>
      <w:r>
        <w:t xml:space="preserve"> </w:t>
      </w:r>
      <w:r w:rsidR="0004260E">
        <w:t>C</w:t>
      </w:r>
      <w:r>
        <w:t>’est-à-dire</w:t>
      </w:r>
      <w:r w:rsidR="0004260E">
        <w:t xml:space="preserve"> </w:t>
      </w:r>
      <w:r w:rsidR="00CC1F82">
        <w:t xml:space="preserve">des dirigeants </w:t>
      </w:r>
      <w:r w:rsidR="0004260E">
        <w:t xml:space="preserve">en capacité d’organiser le travail en s’appuyant notamment sur des rituels managériaux utiles à la communication interne, au partage et à la recherche de solutions pratiques aux difficultés du travail quotidien. </w:t>
      </w:r>
      <w:r w:rsidR="00763ECE">
        <w:t>C'est-</w:t>
      </w:r>
      <w:r w:rsidR="00763ECE">
        <w:lastRenderedPageBreak/>
        <w:t>à-dire, d</w:t>
      </w:r>
      <w:r w:rsidR="0004260E">
        <w:t xml:space="preserve">es </w:t>
      </w:r>
      <w:r w:rsidR="00CC1F82">
        <w:t>cadres de proximité</w:t>
      </w:r>
      <w:r w:rsidR="0004260E">
        <w:t xml:space="preserve"> en capacité d’aider chacun à situer sa contribution dans le collectif, </w:t>
      </w:r>
      <w:r w:rsidR="00763ECE">
        <w:t xml:space="preserve">à lui donner du sens et </w:t>
      </w:r>
      <w:r w:rsidR="0004260E">
        <w:t xml:space="preserve">à la valoriser, mais aussi </w:t>
      </w:r>
      <w:r w:rsidR="00763ECE">
        <w:t xml:space="preserve">des managers </w:t>
      </w:r>
      <w:r w:rsidR="0004260E">
        <w:t xml:space="preserve">en capacité d’accompagner et susciter des évolutions professionnelles. </w:t>
      </w:r>
      <w:r w:rsidR="00DA446B">
        <w:rPr>
          <w:i/>
          <w:color w:val="FF0000"/>
        </w:rPr>
        <w:t xml:space="preserve">Nous avons lancé un cycle de travail pour concevoir une action forte et concertée sur les dirigeants et cadres de proximité du secteur – </w:t>
      </w:r>
      <w:proofErr w:type="spellStart"/>
      <w:r w:rsidR="00DA446B">
        <w:rPr>
          <w:i/>
          <w:color w:val="FF0000"/>
        </w:rPr>
        <w:t>cf</w:t>
      </w:r>
      <w:proofErr w:type="spellEnd"/>
      <w:r w:rsidR="00DA446B">
        <w:rPr>
          <w:i/>
          <w:color w:val="FF0000"/>
        </w:rPr>
        <w:t xml:space="preserve"> infra 2.2.1. </w:t>
      </w:r>
    </w:p>
    <w:p w14:paraId="2DD6C010" w14:textId="792B2DA5" w:rsidR="00DA5CEF" w:rsidRDefault="00763ECE" w:rsidP="00763ECE">
      <w:pPr>
        <w:rPr>
          <w:i/>
          <w:color w:val="FF0000"/>
        </w:rPr>
      </w:pPr>
      <w:r>
        <w:t xml:space="preserve">La </w:t>
      </w:r>
      <w:r w:rsidR="00DA5CEF">
        <w:t>s</w:t>
      </w:r>
      <w:r w:rsidR="00DA5CEF" w:rsidRPr="000B53FE">
        <w:t>egmentation du pilotage national (Etat/CNSA ; branche AT-MP</w:t>
      </w:r>
      <w:r w:rsidR="00DA5CEF">
        <w:t xml:space="preserve"> ; DGT avec les plans santé au travail) ne favorise pas </w:t>
      </w:r>
      <w:r w:rsidR="00CF450E">
        <w:t xml:space="preserve">les synergies entre ces différentes politiques publiques, </w:t>
      </w:r>
      <w:r w:rsidR="0004260E">
        <w:t xml:space="preserve">convergeant pourtant vers les </w:t>
      </w:r>
      <w:r w:rsidR="00CF450E">
        <w:t>mêmes objectifs. Cela induit notamment un m</w:t>
      </w:r>
      <w:r w:rsidR="00DA5CEF" w:rsidRPr="000B53FE">
        <w:t>anque de visibilité sur le déploiement des aides et des démarches de QVT/sinistralité dans les structures (</w:t>
      </w:r>
      <w:r w:rsidR="00CF450E">
        <w:t xml:space="preserve">échelon </w:t>
      </w:r>
      <w:r w:rsidR="00DA5CEF" w:rsidRPr="000B53FE">
        <w:t xml:space="preserve">national </w:t>
      </w:r>
      <w:r w:rsidR="00CF450E">
        <w:t>comme</w:t>
      </w:r>
      <w:r w:rsidR="00DA5CEF" w:rsidRPr="000B53FE">
        <w:t xml:space="preserve"> territorial)</w:t>
      </w:r>
      <w:r w:rsidR="00CF450E">
        <w:t xml:space="preserve">. </w:t>
      </w:r>
      <w:r w:rsidR="0004260E">
        <w:t>Il n’y a donc pas de stratégie territoriale de ces politiques</w:t>
      </w:r>
      <w:r>
        <w:t>. Or</w:t>
      </w:r>
      <w:r w:rsidR="0004260E">
        <w:t xml:space="preserve"> </w:t>
      </w:r>
      <w:r>
        <w:t xml:space="preserve">cette gouvernance territoriale présenterait </w:t>
      </w:r>
      <w:r w:rsidR="0004260E">
        <w:t xml:space="preserve">l’avantage de partager des diagnostics plus complets et de </w:t>
      </w:r>
      <w:r>
        <w:t xml:space="preserve">cibler l’action publique sur les structures qui en ont le plus besoin, en privilégiant les moyens les plus appropriés. </w:t>
      </w:r>
      <w:r w:rsidR="00DA446B" w:rsidRPr="00DA446B">
        <w:rPr>
          <w:i/>
          <w:color w:val="FF0000"/>
        </w:rPr>
        <w:t xml:space="preserve">Nous </w:t>
      </w:r>
      <w:r w:rsidR="00DA446B">
        <w:rPr>
          <w:i/>
          <w:color w:val="FF0000"/>
        </w:rPr>
        <w:t xml:space="preserve">avons initié des rencontres pour progresser dans cette direction – </w:t>
      </w:r>
      <w:proofErr w:type="spellStart"/>
      <w:r w:rsidR="00DA446B">
        <w:rPr>
          <w:i/>
          <w:color w:val="FF0000"/>
        </w:rPr>
        <w:t>cf</w:t>
      </w:r>
      <w:proofErr w:type="spellEnd"/>
      <w:r w:rsidR="00DA446B">
        <w:rPr>
          <w:i/>
          <w:color w:val="FF0000"/>
        </w:rPr>
        <w:t xml:space="preserve"> infra 2.2.2.</w:t>
      </w:r>
    </w:p>
    <w:p w14:paraId="08830FB3" w14:textId="53434AC2" w:rsidR="00DA446B" w:rsidRDefault="00DA446B" w:rsidP="00DA446B">
      <w:pPr>
        <w:rPr>
          <w:i/>
          <w:color w:val="FF0000"/>
        </w:rPr>
      </w:pPr>
      <w:r>
        <w:t>Enfin, si les établissements médico-sociaux bénéficient d’un tableau de bord de la perf</w:t>
      </w:r>
      <w:r w:rsidR="00252D6E">
        <w:t xml:space="preserve">ormance qui a été </w:t>
      </w:r>
      <w:proofErr w:type="spellStart"/>
      <w:r w:rsidR="00252D6E">
        <w:t>co</w:t>
      </w:r>
      <w:proofErr w:type="spellEnd"/>
      <w:r w:rsidR="00252D6E">
        <w:t xml:space="preserve">-construit </w:t>
      </w:r>
      <w:r>
        <w:t xml:space="preserve">avec leurs représentants, sous le pilotage de l’ANACT, le </w:t>
      </w:r>
      <w:r w:rsidR="00252D6E">
        <w:t xml:space="preserve">secteur du </w:t>
      </w:r>
      <w:r>
        <w:t>domicile ne présente pas d’équivalent.</w:t>
      </w:r>
      <w:r w:rsidR="003F5023">
        <w:t xml:space="preserve"> </w:t>
      </w:r>
      <w:r w:rsidR="003F5023" w:rsidRPr="003F5023">
        <w:rPr>
          <w:i/>
          <w:color w:val="FF0000"/>
        </w:rPr>
        <w:t>Les indicateurs RH pertinents pourraient être étendus au domicile, en concertation avec le secteur pour les identifier et les compléter en tant que de besoin</w:t>
      </w:r>
      <w:r w:rsidR="003F5023">
        <w:rPr>
          <w:i/>
          <w:color w:val="FF0000"/>
        </w:rPr>
        <w:t xml:space="preserve">, afin de constituer un tableau de bord pour ces services. </w:t>
      </w:r>
      <w:r w:rsidR="005F5F36">
        <w:rPr>
          <w:i/>
          <w:color w:val="FF0000"/>
        </w:rPr>
        <w:t xml:space="preserve">A noter que ce tableau de bord ne permet à date que de travailler sur des données anciennes : la campagne 2020, qui aurait dû être lancée en juin ne le sera qu’en septembre ; l’analyse des données 2019 n’est pas encore disponible… </w:t>
      </w:r>
    </w:p>
    <w:p w14:paraId="6FA74190" w14:textId="0B5896BB" w:rsidR="00B13E1C" w:rsidRPr="000D78B2" w:rsidRDefault="00B13E1C" w:rsidP="00B13E1C">
      <w:r w:rsidRPr="001513B1">
        <w:t>Enfin, un quatrième axe pourrait concerner l’aide au développement des outils numériques facilitant la transformation des organisations, en particulier dans le secteur du domicile</w:t>
      </w:r>
      <w:r w:rsidR="002C1C57">
        <w:t xml:space="preserve"> (</w:t>
      </w:r>
      <w:proofErr w:type="spellStart"/>
      <w:r w:rsidR="002C1C57">
        <w:rPr>
          <w:i/>
        </w:rPr>
        <w:t>cf</w:t>
      </w:r>
      <w:proofErr w:type="spellEnd"/>
      <w:r w:rsidR="002C1C57">
        <w:rPr>
          <w:i/>
        </w:rPr>
        <w:t xml:space="preserve"> infra 2.2.4.)</w:t>
      </w:r>
      <w:r w:rsidRPr="001513B1">
        <w:t xml:space="preserve">. La CNSA a mis en place de multiples aides dans cette optique sur les crédits du titre IV (aide à la modernisation des équipements notamment), mais on ne connaît pas la part ni les caractéristiques des structures qui en bénéficient. Outre l’équipement en smartphones, l’objectif est de faciliter le recours à des applications qui permettent d’améliorer la qualité de vie au travail des professionnels (gestion partagée des plannings par exemple pour le domicile).   </w:t>
      </w:r>
    </w:p>
    <w:p w14:paraId="5052A696" w14:textId="68DEC784" w:rsidR="00CD429A" w:rsidRDefault="00CD429A" w:rsidP="00CD429A">
      <w:pPr>
        <w:pStyle w:val="Titre3"/>
      </w:pPr>
      <w:bookmarkStart w:id="19" w:name="_Toc77328922"/>
      <w:r w:rsidRPr="00430E27">
        <w:t>Donner une priorité forte au développement des compétences managériales des dirigeants et des cadres du secteur</w:t>
      </w:r>
      <w:bookmarkEnd w:id="19"/>
      <w:r w:rsidRPr="00430E27">
        <w:t xml:space="preserve"> </w:t>
      </w:r>
    </w:p>
    <w:p w14:paraId="459900F3" w14:textId="3B32366A" w:rsidR="001513B1" w:rsidRPr="001513B1" w:rsidRDefault="001513B1" w:rsidP="001513B1">
      <w:pPr>
        <w:pStyle w:val="Titre4"/>
      </w:pPr>
      <w:r>
        <w:t>Les managers : pierre angulaire de l’amélioration des conditions de travail</w:t>
      </w:r>
    </w:p>
    <w:p w14:paraId="0DCD9D3D" w14:textId="77777777" w:rsidR="00CD429A" w:rsidRDefault="00CD429A" w:rsidP="00CD429A">
      <w:r>
        <w:t xml:space="preserve">Le socle indispensable pour développer des conditions de travail épanouissantes pour les individus, et efficaces pour l’organisation, repose sur les compétences de la chaine managériale et son fonctionnement. L’environnement le plus favorable, avec une charge adaptée aux moyens, des salaires satisfaisants, peut générer du mal être au travail si le manager ne sait pas créer les conditions d’un travail collectif qui a du sens, dans lequel chacun repère sa contribution, connait ses axes de progrès et dispose de la visibilité pour évoluer professionnellement s’il le souhaite. A l’inverse, un bon manager peut rendre supportables des conditions de travail exigeantes, s’il sait donner du sens à cet effort, le récompenser, ne serait-ce que symboliquement par de la reconnaissance, être à l’écoute des difficultés rencontrées par les personnes placées sous sa responsabilité pour y apporter autant que faire se peut des solutions. Un manager compétent crée des rituels managériaux qui permettent un partage d’informations, de construire et entretenir la notion de collectif de travail soudé autour de ses objectifs et missions. Il responsabilise ses collaborateurs en les invitant à prendre part à la réflexion collective, en prenant en compte leur point de vue, et en leur laissant l’autonomie adaptée à leur capacité de faire. </w:t>
      </w:r>
    </w:p>
    <w:p w14:paraId="2415F159" w14:textId="333B7625" w:rsidR="00CD429A" w:rsidRDefault="00CD429A" w:rsidP="00CD429A">
      <w:r>
        <w:t xml:space="preserve">Il s’avère que le secteur du grand âge et de l’autonomie doit progresser en la matière. Longtemps les dirigeants ont été formés à la gestion des établissements et pas ou peu au management. La révision </w:t>
      </w:r>
      <w:r w:rsidR="00E843D9">
        <w:t xml:space="preserve">en cours </w:t>
      </w:r>
      <w:r w:rsidR="00251B53">
        <w:t xml:space="preserve">des référentiels </w:t>
      </w:r>
      <w:r>
        <w:t xml:space="preserve">du CAFDES et du CAFERUIS prend en compte cette dimension, ces diplômes étant de moins en moins valorisés au recrutement, au profit de masters formant notamment aux compétences managériales. Les choix en matière de recrutement ont précédé cette évolution. </w:t>
      </w:r>
    </w:p>
    <w:p w14:paraId="78D8A20B" w14:textId="77777777" w:rsidR="00CD429A" w:rsidRDefault="00CD429A" w:rsidP="00CD429A">
      <w:r>
        <w:lastRenderedPageBreak/>
        <w:t>La prise de conscience de cette nécessité de développer les compétences managériales est inégalement partagée. Les fédérations de la BASS, HP et ESAP travaillent sur le sujet, quand celles de la BAD</w:t>
      </w:r>
      <w:r>
        <w:rPr>
          <w:rStyle w:val="Appelnotedebasdep"/>
        </w:rPr>
        <w:footnoteReference w:id="14"/>
      </w:r>
      <w:r>
        <w:t xml:space="preserve"> répondent par leur préoccupation à augmenter leurs effectifs de cadres. La FHF est également consciente de la nécessité d’harmoniser et de développer les compétences managériales au sein de la FPH et la DGOS s’efforce de faire reprendre et faire converger les travaux entrepris en ce sens avant la crise. </w:t>
      </w:r>
    </w:p>
    <w:p w14:paraId="29CD8179" w14:textId="17DBC944" w:rsidR="00CD429A" w:rsidRDefault="00CD429A" w:rsidP="00CD429A">
      <w:r>
        <w:t>La formation des managers constitue enfin un sujet délicat : il faut leur donner l’appétence de prendre ce temps-là, et désamorcer la réticence de ceux qui pensent que c’est reconnaitre une forme d’incompétence d’al</w:t>
      </w:r>
      <w:r w:rsidR="00251B53">
        <w:t xml:space="preserve">ler se former. C’est pourquoi les </w:t>
      </w:r>
      <w:r>
        <w:t xml:space="preserve">entrée </w:t>
      </w:r>
      <w:r w:rsidR="00251B53">
        <w:t>« </w:t>
      </w:r>
      <w:r>
        <w:t>lutte contre la sinistralité</w:t>
      </w:r>
      <w:r w:rsidR="00251B53">
        <w:t> »</w:t>
      </w:r>
      <w:r>
        <w:t xml:space="preserve">, </w:t>
      </w:r>
      <w:r w:rsidR="00251B53">
        <w:t>« </w:t>
      </w:r>
      <w:r>
        <w:t>développement de meilleures conditions de travail ou de modes d’organisation du travail innovants</w:t>
      </w:r>
      <w:r w:rsidR="00251B53">
        <w:t> »</w:t>
      </w:r>
      <w:r>
        <w:t xml:space="preserve"> (en particulier dans le domicile) seront privilégiés. Il s’agira notamment d’encourager les échanges de pratiques, et autres formes de séminaires fondés sur des méthodes inspirées du </w:t>
      </w:r>
      <w:proofErr w:type="spellStart"/>
      <w:r>
        <w:t>co</w:t>
      </w:r>
      <w:proofErr w:type="spellEnd"/>
      <w:r>
        <w:t>-</w:t>
      </w:r>
      <w:r w:rsidR="00251B53">
        <w:t xml:space="preserve">développement, notamment via la création et l’animation </w:t>
      </w:r>
      <w:r>
        <w:t xml:space="preserve">de communautés managériales. </w:t>
      </w:r>
    </w:p>
    <w:p w14:paraId="4BECD400" w14:textId="0D37C56C" w:rsidR="00CD429A" w:rsidRDefault="00913B25" w:rsidP="00CD429A">
      <w:pPr>
        <w:pStyle w:val="Titre4"/>
        <w:rPr>
          <w:i w:val="0"/>
        </w:rPr>
      </w:pPr>
      <w:r>
        <w:rPr>
          <w:i w:val="0"/>
        </w:rPr>
        <w:t xml:space="preserve">Préparation collective </w:t>
      </w:r>
      <w:r w:rsidR="001513B1">
        <w:rPr>
          <w:i w:val="0"/>
        </w:rPr>
        <w:t xml:space="preserve">d’une note d’arbitrage pour </w:t>
      </w:r>
      <w:r>
        <w:rPr>
          <w:i w:val="0"/>
        </w:rPr>
        <w:t>un plan d’action</w:t>
      </w:r>
      <w:r w:rsidR="001513B1">
        <w:rPr>
          <w:i w:val="0"/>
        </w:rPr>
        <w:t xml:space="preserve"> pour le développement des compétences managériales</w:t>
      </w:r>
    </w:p>
    <w:p w14:paraId="6D584A0C" w14:textId="0D3A6089" w:rsidR="00913B25" w:rsidRDefault="00913B25" w:rsidP="00913B25">
      <w:r>
        <w:t>U</w:t>
      </w:r>
      <w:r w:rsidRPr="00BF03A2">
        <w:t xml:space="preserve">n groupe de travail </w:t>
      </w:r>
      <w:r>
        <w:t>(DGCSO DGOS ONQVT et ARS NA) a lancé les travaux pour construire une stratégie d’action impliquant toutes les parties prenantes pour soutenir massivement les managers des établissements et services des métiers de l’autonomie et renforcer leurs compétences. Cette démarche a vocation à prendre appui sur un espace numérique national et des espaces régionaux qui présenteront 2 caractéristiques : mettre à disposition des ressources et expériences réussies, servir de support à la création et au fonctionnement de communautés managériales apprenantes</w:t>
      </w:r>
      <w:r w:rsidR="003956E1">
        <w:t xml:space="preserve"> </w:t>
      </w:r>
      <w:r w:rsidR="003956E1" w:rsidRPr="003956E1">
        <w:rPr>
          <w:i/>
        </w:rPr>
        <w:t>(voir infra 2.2.2.3)</w:t>
      </w:r>
      <w:r>
        <w:t xml:space="preserve">. </w:t>
      </w:r>
    </w:p>
    <w:p w14:paraId="6C627929" w14:textId="731E272D" w:rsidR="00913B25" w:rsidRPr="00131EF4" w:rsidRDefault="00913B25" w:rsidP="00913B25">
      <w:pPr>
        <w:rPr>
          <w:i/>
          <w:color w:val="FF0000"/>
        </w:rPr>
      </w:pPr>
      <w:r>
        <w:t>La démarche consiste à impliquer toutes les parties prenantes dans l’élaboration d’un plan d’action massif en direction des managers du secteur</w:t>
      </w:r>
      <w:r w:rsidR="00131EF4">
        <w:t xml:space="preserve">. </w:t>
      </w:r>
      <w:r w:rsidR="00131EF4" w:rsidRPr="00131EF4">
        <w:rPr>
          <w:i/>
          <w:color w:val="FF0000"/>
        </w:rPr>
        <w:t xml:space="preserve">Ce premier temps </w:t>
      </w:r>
      <w:r w:rsidR="00E843D9">
        <w:rPr>
          <w:i/>
          <w:color w:val="FF0000"/>
        </w:rPr>
        <w:t>conduira</w:t>
      </w:r>
      <w:r w:rsidR="00756BE5">
        <w:rPr>
          <w:i/>
          <w:color w:val="FF0000"/>
        </w:rPr>
        <w:t xml:space="preserve"> à</w:t>
      </w:r>
      <w:r w:rsidR="00131EF4" w:rsidRPr="00131EF4">
        <w:rPr>
          <w:i/>
          <w:color w:val="FF0000"/>
        </w:rPr>
        <w:t xml:space="preserve"> la production d’une note d’arbitrage en octobre. </w:t>
      </w:r>
    </w:p>
    <w:p w14:paraId="6F1D917D" w14:textId="77777777" w:rsidR="00913B25" w:rsidRDefault="00913B25" w:rsidP="00913B25">
      <w:r>
        <w:t xml:space="preserve">La réunion de lancement des travaux s’est tenue le 7 juillet avec les fédérations professionnelles (largement représentées), 3 ARS, la CNAM, l’ANACT, la CNSA, la DGOS et la DGCS. L’ANDAS et l’ADF s’étaient excusées et seront recontactées. Nous essaierons également de rallier à ces travaux le centre national de gestion, le Fonds national de la prévention de la CNRACL et les associations de médecins du travail. La DGT avec laquelle la mission avait pris contact sera </w:t>
      </w:r>
      <w:proofErr w:type="spellStart"/>
      <w:r>
        <w:t>re</w:t>
      </w:r>
      <w:proofErr w:type="spellEnd"/>
      <w:r>
        <w:t xml:space="preserve">-sollicitée. </w:t>
      </w:r>
    </w:p>
    <w:p w14:paraId="5C634E3C" w14:textId="60890C4D" w:rsidR="00913B25" w:rsidRDefault="00913B25" w:rsidP="00913B25">
      <w:r w:rsidRPr="00131EF4">
        <w:t>3 ateliers sont programmés pour septembre</w:t>
      </w:r>
      <w:r w:rsidR="00131EF4" w:rsidRPr="00131EF4">
        <w:t xml:space="preserve"> pour </w:t>
      </w:r>
      <w:r w:rsidR="00131EF4" w:rsidRPr="00131EF4">
        <w:rPr>
          <w:bCs/>
        </w:rPr>
        <w:t xml:space="preserve">préparer la </w:t>
      </w:r>
      <w:r w:rsidRPr="00131EF4">
        <w:rPr>
          <w:bCs/>
        </w:rPr>
        <w:t>note d’arbitrage</w:t>
      </w:r>
      <w:r>
        <w:t xml:space="preserve">, </w:t>
      </w:r>
      <w:r w:rsidR="00131EF4">
        <w:t xml:space="preserve">avec les </w:t>
      </w:r>
      <w:r>
        <w:t xml:space="preserve">administrations, opérateurs, fédérations professionnelles et associations, avec les moyens associés. </w:t>
      </w:r>
    </w:p>
    <w:p w14:paraId="68BD4E4D" w14:textId="78DCCFA9" w:rsidR="00913B25" w:rsidRPr="00131EF4" w:rsidRDefault="00913B25" w:rsidP="00043DEB">
      <w:pPr>
        <w:pStyle w:val="Paragraphedeliste"/>
        <w:numPr>
          <w:ilvl w:val="0"/>
          <w:numId w:val="18"/>
        </w:numPr>
      </w:pPr>
      <w:r w:rsidRPr="00043DEB">
        <w:rPr>
          <w:bCs/>
        </w:rPr>
        <w:t>Mardi 7 septembre 14h :</w:t>
      </w:r>
      <w:r w:rsidRPr="00131EF4">
        <w:t xml:space="preserve"> compléter le bilan succinct des réalisations DGCS et DGOS présenté le 7 juillet, </w:t>
      </w:r>
      <w:r w:rsidR="00756BE5">
        <w:t xml:space="preserve">avec l’ensemble des actions portées par les différentes parties prenantes </w:t>
      </w:r>
      <w:r w:rsidRPr="00131EF4">
        <w:t xml:space="preserve">pour développer une meilleure qualité de vie au travail. </w:t>
      </w:r>
    </w:p>
    <w:p w14:paraId="4171DF80" w14:textId="77777777" w:rsidR="00913B25" w:rsidRPr="00131EF4" w:rsidRDefault="00913B25" w:rsidP="00043DEB">
      <w:pPr>
        <w:pStyle w:val="Paragraphedeliste"/>
        <w:numPr>
          <w:ilvl w:val="0"/>
          <w:numId w:val="18"/>
        </w:numPr>
      </w:pPr>
      <w:r w:rsidRPr="00043DEB">
        <w:rPr>
          <w:bCs/>
        </w:rPr>
        <w:t>Mardi 14 septembre à 10h :</w:t>
      </w:r>
      <w:r w:rsidRPr="00131EF4">
        <w:t xml:space="preserve"> élaborer des propositions pour susciter la création de communautés managériales apprenantes, et tout autre levier qui concourt à aider les managers à développer l’attractivité des métiers par de meilleures conditions de travail, des évolutions de carrières, etc.</w:t>
      </w:r>
    </w:p>
    <w:p w14:paraId="4898112F" w14:textId="404A3078" w:rsidR="00913B25" w:rsidRPr="00043DEB" w:rsidRDefault="00913B25" w:rsidP="00043DEB">
      <w:pPr>
        <w:pStyle w:val="Paragraphedeliste"/>
        <w:numPr>
          <w:ilvl w:val="0"/>
          <w:numId w:val="18"/>
        </w:numPr>
        <w:rPr>
          <w:color w:val="1F497D"/>
        </w:rPr>
      </w:pPr>
      <w:r w:rsidRPr="00043DEB">
        <w:rPr>
          <w:bCs/>
        </w:rPr>
        <w:t>Lundi 20 septembre 10h :</w:t>
      </w:r>
      <w:r w:rsidRPr="00131EF4">
        <w:t xml:space="preserve"> élaborer des propositions pour développer des espaces num</w:t>
      </w:r>
      <w:r w:rsidR="00756BE5">
        <w:t>ériques ressources et support d</w:t>
      </w:r>
      <w:r w:rsidRPr="00131EF4">
        <w:t xml:space="preserve">es communautés managériales.   </w:t>
      </w:r>
    </w:p>
    <w:p w14:paraId="578DE40F" w14:textId="3BC76286" w:rsidR="00CD429A" w:rsidRDefault="00A17300" w:rsidP="00CD429A">
      <w:r>
        <w:t>Ainsi, l</w:t>
      </w:r>
      <w:r w:rsidR="00CD429A">
        <w:t xml:space="preserve">e plan d’action s’appuiera sur </w:t>
      </w:r>
      <w:r>
        <w:t xml:space="preserve">ce que les différentes parties prenantes réalisent déjà et ce qu’elles pourraient faire de plus, ou plus efficacement </w:t>
      </w:r>
      <w:r w:rsidR="00756BE5">
        <w:t xml:space="preserve">car de façon </w:t>
      </w:r>
      <w:r>
        <w:t xml:space="preserve">concertée </w:t>
      </w:r>
      <w:r w:rsidR="00CD429A">
        <w:t xml:space="preserve">: </w:t>
      </w:r>
    </w:p>
    <w:p w14:paraId="7972E80A" w14:textId="77777777" w:rsidR="00CD429A" w:rsidRDefault="00CD429A" w:rsidP="00043DEB">
      <w:pPr>
        <w:pStyle w:val="Paragraphedeliste"/>
        <w:numPr>
          <w:ilvl w:val="0"/>
          <w:numId w:val="17"/>
        </w:numPr>
      </w:pPr>
      <w:r>
        <w:t>Les fédérations professionnelles en identifiant dans quelle mesure il est nécessaire d’amplifier les actions qu’elles ont engagées, et comment motiver celles qui ne considèrent pas ce sujet comme prioritaire dans les arbitrages de leur branche ;</w:t>
      </w:r>
    </w:p>
    <w:p w14:paraId="483CCA9B" w14:textId="6A7BD179" w:rsidR="00CD429A" w:rsidRDefault="005F5F36" w:rsidP="00043DEB">
      <w:pPr>
        <w:pStyle w:val="Paragraphedeliste"/>
        <w:numPr>
          <w:ilvl w:val="0"/>
          <w:numId w:val="17"/>
        </w:numPr>
      </w:pPr>
      <w:r>
        <w:lastRenderedPageBreak/>
        <w:t>La CPAM, notamment la direction des risques professionnels, et le réseau des</w:t>
      </w:r>
      <w:r w:rsidR="00CD429A">
        <w:t xml:space="preserve"> CARSAT qui pourraient, à l’image de ce qui est fait en Nouvelle Aquitaine, proposer aux structures des moyens pour améliorer la sinistralité, </w:t>
      </w:r>
      <w:r w:rsidR="00756BE5">
        <w:t>en les conditionnant</w:t>
      </w:r>
      <w:r w:rsidR="00CD429A">
        <w:t xml:space="preserve"> à la réalisation de formations pour l’encadrement qui, entrant par ce sujet, permettent plus largement d’élargir les compétences managériales ;</w:t>
      </w:r>
    </w:p>
    <w:p w14:paraId="5F3589A1" w14:textId="1855BDC5" w:rsidR="00CD429A" w:rsidRDefault="004E4209" w:rsidP="00043DEB">
      <w:pPr>
        <w:pStyle w:val="Paragraphedeliste"/>
        <w:numPr>
          <w:ilvl w:val="0"/>
          <w:numId w:val="17"/>
        </w:numPr>
      </w:pPr>
      <w:r>
        <w:t>La DGOS et la DGCS et le réseau des</w:t>
      </w:r>
      <w:r w:rsidR="00CD429A">
        <w:t xml:space="preserve"> ARS qui, au travers des CPOM et des indicateurs du tableau de bord </w:t>
      </w:r>
      <w:r>
        <w:t>de la performance des ESMS</w:t>
      </w:r>
      <w:r w:rsidR="00CD429A">
        <w:t>, pourraient développer une offre de formation ciblée, inter établissements et services, en regroupant les managers de structures qui ont le plus besoin de progresser au regard de ces indicateurs ;</w:t>
      </w:r>
    </w:p>
    <w:p w14:paraId="23EDBFDB" w14:textId="3C0774A1" w:rsidR="00CD429A" w:rsidRDefault="00CD429A" w:rsidP="00043DEB">
      <w:pPr>
        <w:pStyle w:val="Paragraphedeliste"/>
        <w:numPr>
          <w:ilvl w:val="0"/>
          <w:numId w:val="17"/>
        </w:numPr>
      </w:pPr>
      <w:r>
        <w:t>L</w:t>
      </w:r>
      <w:r w:rsidR="005F5F36">
        <w:t xml:space="preserve">a DGT </w:t>
      </w:r>
      <w:r w:rsidR="004E4209">
        <w:t>et les</w:t>
      </w:r>
      <w:r>
        <w:t xml:space="preserve"> DREETS via les services en </w:t>
      </w:r>
      <w:r w:rsidR="004E4209">
        <w:t>charge du déploiement des PRST ;</w:t>
      </w:r>
    </w:p>
    <w:p w14:paraId="051215B7" w14:textId="7479E6E7" w:rsidR="00A17300" w:rsidRDefault="00A17300" w:rsidP="00043DEB">
      <w:pPr>
        <w:pStyle w:val="Paragraphedeliste"/>
        <w:numPr>
          <w:ilvl w:val="0"/>
          <w:numId w:val="17"/>
        </w:numPr>
      </w:pPr>
      <w:r>
        <w:t>Les associations de médecins du travail et le fonds national de la prévention ;</w:t>
      </w:r>
    </w:p>
    <w:p w14:paraId="21E17922" w14:textId="1BB3AD99" w:rsidR="004E4209" w:rsidRDefault="004E4209" w:rsidP="00043DEB">
      <w:pPr>
        <w:pStyle w:val="Paragraphedeliste"/>
        <w:numPr>
          <w:ilvl w:val="0"/>
          <w:numId w:val="17"/>
        </w:numPr>
      </w:pPr>
      <w:r>
        <w:t>Les Départements via l’ADF et l’ANDAS</w:t>
      </w:r>
      <w:r w:rsidR="00A17300">
        <w:t> ;</w:t>
      </w:r>
    </w:p>
    <w:p w14:paraId="31ED0AFD" w14:textId="56FD6EB2" w:rsidR="00C65132" w:rsidRPr="00915BC2" w:rsidRDefault="00A17300" w:rsidP="00BD13C8">
      <w:pPr>
        <w:rPr>
          <w:i/>
          <w:color w:val="FF0000"/>
        </w:rPr>
      </w:pPr>
      <w:r w:rsidRPr="00915BC2">
        <w:rPr>
          <w:i/>
          <w:color w:val="FF0000"/>
        </w:rPr>
        <w:t>La note d’arbitrage</w:t>
      </w:r>
      <w:r w:rsidR="00915BC2">
        <w:rPr>
          <w:i/>
          <w:color w:val="FF0000"/>
        </w:rPr>
        <w:t xml:space="preserve"> devrait comprendre</w:t>
      </w:r>
      <w:r w:rsidR="00C65132" w:rsidRPr="00915BC2">
        <w:rPr>
          <w:i/>
          <w:color w:val="FF0000"/>
        </w:rPr>
        <w:t xml:space="preserve"> notamment :</w:t>
      </w:r>
      <w:r w:rsidRPr="00915BC2">
        <w:rPr>
          <w:i/>
          <w:color w:val="FF0000"/>
        </w:rPr>
        <w:t xml:space="preserve"> </w:t>
      </w:r>
    </w:p>
    <w:p w14:paraId="35162356" w14:textId="67A9D142" w:rsidR="00C65132" w:rsidRDefault="00C65132" w:rsidP="00C65132">
      <w:pPr>
        <w:pStyle w:val="Paragraphedeliste"/>
        <w:numPr>
          <w:ilvl w:val="0"/>
          <w:numId w:val="2"/>
        </w:numPr>
      </w:pPr>
      <w:r>
        <w:t>Des modalités d’action et de mobilisation des managers, notamment au travers de communautés appren</w:t>
      </w:r>
      <w:r w:rsidR="00C650A5">
        <w:t>antes ;</w:t>
      </w:r>
    </w:p>
    <w:p w14:paraId="72E5EA48" w14:textId="53E94B87" w:rsidR="00CD429A" w:rsidRDefault="00C650A5" w:rsidP="00C65132">
      <w:pPr>
        <w:pStyle w:val="Paragraphedeliste"/>
        <w:numPr>
          <w:ilvl w:val="0"/>
          <w:numId w:val="2"/>
        </w:numPr>
      </w:pPr>
      <w:r>
        <w:t>L</w:t>
      </w:r>
      <w:r w:rsidR="00A17300">
        <w:t>es objectifs et l’</w:t>
      </w:r>
      <w:r w:rsidR="00BD13C8">
        <w:t>architecture</w:t>
      </w:r>
      <w:r w:rsidR="00A17300">
        <w:t xml:space="preserve"> d’</w:t>
      </w:r>
      <w:r w:rsidR="00C65132">
        <w:t xml:space="preserve">un espace numérique </w:t>
      </w:r>
      <w:r w:rsidR="00A17300">
        <w:t xml:space="preserve">national, </w:t>
      </w:r>
      <w:r w:rsidR="00BD13C8">
        <w:t>complété</w:t>
      </w:r>
      <w:r w:rsidR="00A17300">
        <w:t xml:space="preserve"> par des espaces régionaux, avec la double vocation de </w:t>
      </w:r>
      <w:r w:rsidR="00BD13C8">
        <w:t xml:space="preserve">partager les </w:t>
      </w:r>
      <w:r w:rsidR="00CD429A" w:rsidRPr="00DB3316">
        <w:t>outils et ressources mobilisables pour améliorer la QVT/sinistralité</w:t>
      </w:r>
      <w:r>
        <w:t xml:space="preserve"> sur les territoires (provenant de la branche AT-MP, du </w:t>
      </w:r>
      <w:r w:rsidRPr="00430E27">
        <w:t xml:space="preserve">FIR </w:t>
      </w:r>
      <w:r>
        <w:t xml:space="preserve">des </w:t>
      </w:r>
      <w:r w:rsidRPr="00430E27">
        <w:t>ARS</w:t>
      </w:r>
      <w:r>
        <w:t xml:space="preserve">, des </w:t>
      </w:r>
      <w:r w:rsidRPr="00430E27">
        <w:t>financements dédié</w:t>
      </w:r>
      <w:r>
        <w:t>s CNSA via les OPCO, des Régions, etc.),</w:t>
      </w:r>
      <w:r w:rsidRPr="00430E27">
        <w:t xml:space="preserve"> </w:t>
      </w:r>
      <w:r w:rsidR="00BD13C8">
        <w:t>et de servir d’appui au développement de communautés managériales</w:t>
      </w:r>
      <w:r>
        <w:t> ;</w:t>
      </w:r>
    </w:p>
    <w:p w14:paraId="7BFAADE2" w14:textId="1AAAFCF5" w:rsidR="00CD429A" w:rsidRPr="00C650A5" w:rsidRDefault="00C650A5" w:rsidP="00C650A5">
      <w:pPr>
        <w:pStyle w:val="Paragraphedeliste"/>
        <w:numPr>
          <w:ilvl w:val="0"/>
          <w:numId w:val="2"/>
        </w:numPr>
      </w:pPr>
      <w:r>
        <w:t>Elle pourra contenir également des propositions de c</w:t>
      </w:r>
      <w:r w:rsidR="00CD429A" w:rsidRPr="00C650A5">
        <w:t>iblage</w:t>
      </w:r>
      <w:r w:rsidR="00915BC2">
        <w:t>,</w:t>
      </w:r>
      <w:r w:rsidR="00CD429A" w:rsidRPr="00C650A5">
        <w:t xml:space="preserve"> dans le cadre des dialogues de gestion</w:t>
      </w:r>
      <w:r w:rsidR="00915BC2">
        <w:t>, sur</w:t>
      </w:r>
      <w:r w:rsidR="00CD429A" w:rsidRPr="00C650A5">
        <w:t xml:space="preserve"> les structures nécessitant de monter en compétences managériales, et </w:t>
      </w:r>
      <w:r>
        <w:t>l’</w:t>
      </w:r>
      <w:r w:rsidR="00CD429A" w:rsidRPr="00C650A5">
        <w:t>instauration progressive d’une conditionnalité pour l’accès aux autres aides (aides techniques, outils numériques, etc.).</w:t>
      </w:r>
    </w:p>
    <w:p w14:paraId="1BD18CA5" w14:textId="5D8DBFFB" w:rsidR="00CD429A" w:rsidRPr="00915BC2" w:rsidRDefault="006F3898" w:rsidP="00CD429A">
      <w:pPr>
        <w:rPr>
          <w:i/>
          <w:color w:val="FF0000"/>
        </w:rPr>
      </w:pPr>
      <w:r w:rsidRPr="00915BC2">
        <w:rPr>
          <w:i/>
          <w:color w:val="FF0000"/>
        </w:rPr>
        <w:t>En complément, cet axe de développement des compétences managériales</w:t>
      </w:r>
      <w:r w:rsidR="001513B1" w:rsidRPr="00915BC2">
        <w:rPr>
          <w:i/>
          <w:color w:val="FF0000"/>
        </w:rPr>
        <w:t xml:space="preserve"> pourrai</w:t>
      </w:r>
      <w:r w:rsidRPr="00915BC2">
        <w:rPr>
          <w:i/>
          <w:color w:val="FF0000"/>
        </w:rPr>
        <w:t xml:space="preserve">t être intégré aux </w:t>
      </w:r>
      <w:r w:rsidR="00CD429A" w:rsidRPr="00915BC2">
        <w:rPr>
          <w:i/>
          <w:color w:val="FF0000"/>
        </w:rPr>
        <w:t>conventions n</w:t>
      </w:r>
      <w:r w:rsidRPr="00915BC2">
        <w:rPr>
          <w:i/>
          <w:color w:val="FF0000"/>
        </w:rPr>
        <w:t>ationales CNSA/CNAM-ATMP/CD, aux</w:t>
      </w:r>
      <w:r w:rsidR="00CD429A" w:rsidRPr="00915BC2">
        <w:rPr>
          <w:i/>
          <w:color w:val="FF0000"/>
        </w:rPr>
        <w:t xml:space="preserve"> conventions CNSA/OPCO et CNSA/CD </w:t>
      </w:r>
      <w:r w:rsidR="001513B1" w:rsidRPr="00915BC2">
        <w:rPr>
          <w:i/>
          <w:color w:val="FF0000"/>
        </w:rPr>
        <w:t xml:space="preserve">contribuant à </w:t>
      </w:r>
      <w:r w:rsidR="00CD429A" w:rsidRPr="00915BC2">
        <w:rPr>
          <w:i/>
          <w:color w:val="FF0000"/>
        </w:rPr>
        <w:t xml:space="preserve">mettre en visibilité </w:t>
      </w:r>
      <w:r w:rsidR="001513B1" w:rsidRPr="00915BC2">
        <w:rPr>
          <w:i/>
          <w:color w:val="FF0000"/>
        </w:rPr>
        <w:t>l</w:t>
      </w:r>
      <w:r w:rsidR="00CD429A" w:rsidRPr="00915BC2">
        <w:rPr>
          <w:i/>
          <w:color w:val="FF0000"/>
        </w:rPr>
        <w:t>es financements mobilisables.</w:t>
      </w:r>
      <w:r w:rsidR="00CD429A" w:rsidRPr="00915BC2">
        <w:rPr>
          <w:color w:val="FF0000"/>
        </w:rPr>
        <w:t xml:space="preserve"> </w:t>
      </w:r>
      <w:r w:rsidR="00CD429A" w:rsidRPr="00915BC2">
        <w:rPr>
          <w:i/>
          <w:color w:val="FF0000"/>
        </w:rPr>
        <w:t xml:space="preserve">Les OPCO seront mobilisés pour conforter une offre de formation adaptée aux contraintes et attentes des structures. </w:t>
      </w:r>
    </w:p>
    <w:p w14:paraId="1E6BFF1A" w14:textId="479F49CC" w:rsidR="00D77D4B" w:rsidRPr="008F0E1A" w:rsidRDefault="00D77D4B" w:rsidP="00D77D4B">
      <w:pPr>
        <w:pStyle w:val="Titre3"/>
      </w:pPr>
      <w:bookmarkStart w:id="20" w:name="_Toc77328923"/>
      <w:r w:rsidRPr="008F0E1A">
        <w:t>Généraliser les outils de diagnostic et de suivi de la QVT/sinistralité</w:t>
      </w:r>
      <w:bookmarkEnd w:id="20"/>
    </w:p>
    <w:p w14:paraId="60BF39E2" w14:textId="5E086055" w:rsidR="006F51A1" w:rsidRDefault="00D77D4B" w:rsidP="006F51A1">
      <w:pPr>
        <w:pStyle w:val="Titre4"/>
      </w:pPr>
      <w:r w:rsidRPr="00915BC2">
        <w:t>Généraliser la production dans toutes les structures des indicateurs clés de management RH</w:t>
      </w:r>
      <w:r w:rsidRPr="008F0E1A">
        <w:t xml:space="preserve"> pour les mettre à disposition des régulateurs (au n</w:t>
      </w:r>
      <w:r w:rsidR="006F51A1">
        <w:t>iveau national et territorial)</w:t>
      </w:r>
    </w:p>
    <w:p w14:paraId="5114EA39" w14:textId="787C949A" w:rsidR="006F51A1" w:rsidRDefault="006F51A1" w:rsidP="006F51A1">
      <w:pPr>
        <w:rPr>
          <w:color w:val="FF0000"/>
        </w:rPr>
      </w:pPr>
      <w:r w:rsidRPr="00043DEB">
        <w:t>L</w:t>
      </w:r>
      <w:r w:rsidR="00170911" w:rsidRPr="00043DEB">
        <w:t>e secteur médico-social a</w:t>
      </w:r>
      <w:r w:rsidRPr="00043DEB">
        <w:t xml:space="preserve"> construit son tableau de bord </w:t>
      </w:r>
      <w:r w:rsidR="00170911" w:rsidRPr="00043DEB">
        <w:t>de la performance des ESMS, dorénavant obligatoire</w:t>
      </w:r>
      <w:r w:rsidR="00170911" w:rsidRPr="003956E1">
        <w:rPr>
          <w:vertAlign w:val="superscript"/>
        </w:rPr>
        <w:footnoteReference w:id="15"/>
      </w:r>
      <w:r w:rsidR="00170911" w:rsidRPr="00043DEB">
        <w:t xml:space="preserve"> pour l’ensemble de ces structures (construit par l’ANAP, pilotage maintenant repris par la DGCS), en associant les CD, les fédérations et la CNSA. I</w:t>
      </w:r>
      <w:r w:rsidRPr="00043DEB">
        <w:t xml:space="preserve">l s’agit </w:t>
      </w:r>
      <w:r w:rsidR="00170911" w:rsidRPr="00043DEB">
        <w:t>d’é</w:t>
      </w:r>
      <w:r w:rsidRPr="00043DEB">
        <w:t xml:space="preserve">tendre au secteur du domicile les indicateurs RH pertinents pour le diagnostic de la QVT/sinistralité </w:t>
      </w:r>
      <w:r w:rsidR="00B13E1C" w:rsidRPr="00043DEB">
        <w:t>de ces activités.</w:t>
      </w:r>
      <w:r w:rsidR="00B13E1C" w:rsidRPr="00B13E1C">
        <w:rPr>
          <w:color w:val="FF0000"/>
        </w:rPr>
        <w:t xml:space="preserve"> </w:t>
      </w:r>
    </w:p>
    <w:p w14:paraId="5E5DD766" w14:textId="6176EF11" w:rsidR="00043DEB" w:rsidRPr="00170911" w:rsidRDefault="00043DEB" w:rsidP="00043DEB">
      <w:r>
        <w:t xml:space="preserve">Pour ce faire, quelques préalables ont été vérifiés :  </w:t>
      </w:r>
    </w:p>
    <w:p w14:paraId="55B6D201" w14:textId="39103618" w:rsidR="006F51A1" w:rsidRPr="006A3B13" w:rsidRDefault="006F51A1" w:rsidP="00043DEB">
      <w:pPr>
        <w:pStyle w:val="Paragraphedeliste"/>
        <w:numPr>
          <w:ilvl w:val="0"/>
          <w:numId w:val="19"/>
        </w:numPr>
      </w:pPr>
      <w:proofErr w:type="gramStart"/>
      <w:r>
        <w:t>l’ATIH</w:t>
      </w:r>
      <w:proofErr w:type="gramEnd"/>
      <w:r>
        <w:t>, maître d’œuvre de la gestion et de l’exploitation des tableaux de bord, confirme la faisabilité de cette extension à certaines conditions (</w:t>
      </w:r>
      <w:r w:rsidRPr="00114B26">
        <w:rPr>
          <w:i/>
          <w:color w:val="FF0000"/>
        </w:rPr>
        <w:t>renforcement des ressources dédiées</w:t>
      </w:r>
      <w:r w:rsidRPr="00114B26">
        <w:rPr>
          <w:color w:val="FF0000"/>
        </w:rPr>
        <w:t xml:space="preserve"> </w:t>
      </w:r>
      <w:r>
        <w:t xml:space="preserve">aux tableaux de bord compte-tenu de la charge d’appui des structures en phase initiale et expérimentation préalable auprès de SAAD volontaires). </w:t>
      </w:r>
    </w:p>
    <w:p w14:paraId="61A3440E" w14:textId="7BA71AA1" w:rsidR="006F51A1" w:rsidRDefault="006F51A1" w:rsidP="00043DEB">
      <w:pPr>
        <w:pStyle w:val="Paragraphedeliste"/>
        <w:numPr>
          <w:ilvl w:val="0"/>
          <w:numId w:val="19"/>
        </w:numPr>
      </w:pPr>
      <w:r>
        <w:t xml:space="preserve">Une première réunion a eu lieu avec la DGCS qui assure dorénavant la maîtrise d’ouvrage du tableau de bord de la performance ESMS. </w:t>
      </w:r>
    </w:p>
    <w:p w14:paraId="3598D320" w14:textId="5936271A" w:rsidR="001F0C7A" w:rsidRDefault="003C08E8" w:rsidP="003C08E8">
      <w:r>
        <w:t>Le travail d’i</w:t>
      </w:r>
      <w:r w:rsidR="001F0C7A">
        <w:t xml:space="preserve">dentification des indicateurs du tableau de bord les plus pertinents pour que les ARS, les CD et la branche AT-MP détectent les structures qui connaissent une situation préoccupante sur le </w:t>
      </w:r>
      <w:r w:rsidR="001F0C7A">
        <w:lastRenderedPageBreak/>
        <w:t>plan de la QVT/sinistralité</w:t>
      </w:r>
      <w:r w:rsidR="001F0C7A">
        <w:rPr>
          <w:rStyle w:val="Appelnotedebasdep"/>
        </w:rPr>
        <w:footnoteReference w:id="16"/>
      </w:r>
      <w:r>
        <w:t xml:space="preserve"> reste à entreprendre. </w:t>
      </w:r>
      <w:r w:rsidR="00114B26">
        <w:t>Il</w:t>
      </w:r>
      <w:r w:rsidR="003956E1">
        <w:t xml:space="preserve"> sera </w:t>
      </w:r>
      <w:r w:rsidR="00F1371D">
        <w:t>conduit</w:t>
      </w:r>
      <w:r w:rsidR="003956E1">
        <w:t xml:space="preserve"> avec les représentants du secteur et des départements. </w:t>
      </w:r>
    </w:p>
    <w:p w14:paraId="4F76C92B" w14:textId="13D4D95D" w:rsidR="006F51A1" w:rsidRPr="00746065" w:rsidRDefault="006F51A1" w:rsidP="001F0C7A">
      <w:pPr>
        <w:rPr>
          <w:i/>
          <w:color w:val="FF0000"/>
        </w:rPr>
      </w:pPr>
      <w:r w:rsidRPr="00746065">
        <w:rPr>
          <w:i/>
          <w:color w:val="FF0000"/>
        </w:rPr>
        <w:t>Prochaine étape : instruire le projet d’extension au secteur du domicile des indicateurs pertinents QVT/sinistralité, en associant des représentants des CD et des employeurs, et de le présenter au Comité natio</w:t>
      </w:r>
      <w:r w:rsidR="001F0C7A">
        <w:rPr>
          <w:i/>
          <w:color w:val="FF0000"/>
        </w:rPr>
        <w:t xml:space="preserve">nal de pilotage à la rentrée. </w:t>
      </w:r>
    </w:p>
    <w:p w14:paraId="346AD765" w14:textId="32EF40A5" w:rsidR="001F0C7A" w:rsidRPr="008C4820" w:rsidRDefault="00D77D4B" w:rsidP="001F0C7A">
      <w:pPr>
        <w:rPr>
          <w:i/>
        </w:rPr>
      </w:pPr>
      <w:r w:rsidRPr="008C4820">
        <w:rPr>
          <w:i/>
        </w:rPr>
        <w:t>Intégrer les indicateurs de sinistralité de la branche AT-MP (indices de fréquence des AT-MP)</w:t>
      </w:r>
      <w:r w:rsidR="008C4820" w:rsidRPr="008C4820">
        <w:rPr>
          <w:i/>
        </w:rPr>
        <w:t xml:space="preserve"> </w:t>
      </w:r>
      <w:r w:rsidR="00D962CC">
        <w:rPr>
          <w:i/>
        </w:rPr>
        <w:t>–</w:t>
      </w:r>
      <w:r w:rsidR="008C4820" w:rsidRPr="008C4820">
        <w:rPr>
          <w:i/>
        </w:rPr>
        <w:t xml:space="preserve"> </w:t>
      </w:r>
      <w:r w:rsidR="00D962CC">
        <w:rPr>
          <w:i/>
        </w:rPr>
        <w:t>à instruire</w:t>
      </w:r>
      <w:r w:rsidR="001F0C7A" w:rsidRPr="008C4820">
        <w:rPr>
          <w:i/>
        </w:rPr>
        <w:t xml:space="preserve">. </w:t>
      </w:r>
    </w:p>
    <w:p w14:paraId="1D5F4D54" w14:textId="77777777" w:rsidR="00307A04" w:rsidRDefault="00307A04" w:rsidP="006F51A1">
      <w:pPr>
        <w:pStyle w:val="Titre4"/>
      </w:pPr>
      <w:r>
        <w:t>Création d’un espace numérique national et d’espaces numériques régionaux</w:t>
      </w:r>
    </w:p>
    <w:p w14:paraId="3A7D597A" w14:textId="61AFD31D" w:rsidR="003956E1" w:rsidRDefault="001F0C7A" w:rsidP="00307A04">
      <w:r>
        <w:t>Pour faciliter l’engagement dans l’action</w:t>
      </w:r>
      <w:r w:rsidR="00CD429A">
        <w:t xml:space="preserve"> (qu’il s’agira de susciter : </w:t>
      </w:r>
      <w:r w:rsidR="00CD429A" w:rsidRPr="00CD429A">
        <w:rPr>
          <w:i/>
        </w:rPr>
        <w:t xml:space="preserve">voir </w:t>
      </w:r>
      <w:r w:rsidR="003C08E8">
        <w:rPr>
          <w:i/>
        </w:rPr>
        <w:t>supra</w:t>
      </w:r>
      <w:r w:rsidR="00CD429A" w:rsidRPr="00CD429A">
        <w:rPr>
          <w:i/>
        </w:rPr>
        <w:t xml:space="preserve"> </w:t>
      </w:r>
      <w:r w:rsidR="00D962CC">
        <w:rPr>
          <w:i/>
        </w:rPr>
        <w:t>2.2</w:t>
      </w:r>
      <w:r w:rsidR="003C08E8">
        <w:rPr>
          <w:i/>
        </w:rPr>
        <w:t>.1</w:t>
      </w:r>
      <w:r w:rsidR="00CD429A">
        <w:t>)</w:t>
      </w:r>
      <w:r>
        <w:t>, il s’agit de</w:t>
      </w:r>
      <w:r w:rsidR="003956E1">
        <w:t> :</w:t>
      </w:r>
      <w:r>
        <w:t xml:space="preserve"> </w:t>
      </w:r>
    </w:p>
    <w:p w14:paraId="0B5DC3EB" w14:textId="4D179B8F" w:rsidR="003956E1" w:rsidRDefault="00BA2609" w:rsidP="003956E1">
      <w:pPr>
        <w:pStyle w:val="Paragraphedeliste"/>
        <w:numPr>
          <w:ilvl w:val="0"/>
          <w:numId w:val="19"/>
        </w:numPr>
      </w:pPr>
      <w:r>
        <w:t>R</w:t>
      </w:r>
      <w:r w:rsidR="001F0C7A">
        <w:t>endre accessibles et visibles l’ensemble des outils et ressources disponibles pour les employeurs du secteur</w:t>
      </w:r>
      <w:r w:rsidR="00307A04">
        <w:t xml:space="preserve"> pour entreprendre, accompagner et financer des démarches visant à améliorer les conditions de travail et lutter contre la sinistralité</w:t>
      </w:r>
      <w:r w:rsidR="003956E1">
        <w:t xml:space="preserve"> ; </w:t>
      </w:r>
    </w:p>
    <w:p w14:paraId="7DE5FB2F" w14:textId="32793919" w:rsidR="00307A04" w:rsidRDefault="00BA2609" w:rsidP="003956E1">
      <w:pPr>
        <w:pStyle w:val="Paragraphedeliste"/>
        <w:numPr>
          <w:ilvl w:val="0"/>
          <w:numId w:val="19"/>
        </w:numPr>
      </w:pPr>
      <w:r>
        <w:t>D</w:t>
      </w:r>
      <w:r w:rsidR="00307A04">
        <w:t>e m</w:t>
      </w:r>
      <w:r w:rsidR="00307A04" w:rsidRPr="008F0E1A">
        <w:t xml:space="preserve">ettre à </w:t>
      </w:r>
      <w:r w:rsidR="00307A04">
        <w:t xml:space="preserve">leur </w:t>
      </w:r>
      <w:r w:rsidR="00307A04" w:rsidRPr="008F0E1A">
        <w:t xml:space="preserve">disposition des outils de diagnostic approfondi </w:t>
      </w:r>
      <w:r w:rsidRPr="001F0C7A">
        <w:t>(par exemple l’outil QENA expérimenté en NA pour les EHPAD)</w:t>
      </w:r>
      <w:r>
        <w:t xml:space="preserve"> </w:t>
      </w:r>
      <w:r w:rsidR="00307A04" w:rsidRPr="008F0E1A">
        <w:t>et d’appui à la conduite de démarches d’amélioration</w:t>
      </w:r>
      <w:r w:rsidR="00307A04">
        <w:t xml:space="preserve"> de la qualité de vie au travail,</w:t>
      </w:r>
      <w:r w:rsidR="00307A04" w:rsidRPr="008F0E1A">
        <w:t xml:space="preserve"> </w:t>
      </w:r>
      <w:proofErr w:type="spellStart"/>
      <w:r w:rsidR="00307A04" w:rsidRPr="008F0E1A">
        <w:t>co</w:t>
      </w:r>
      <w:proofErr w:type="spellEnd"/>
      <w:r w:rsidR="00307A04" w:rsidRPr="008F0E1A">
        <w:t>-construites avec les professionnels, et évaluées régulièrement</w:t>
      </w:r>
      <w:r w:rsidR="008C4820">
        <w:t xml:space="preserve"> </w:t>
      </w:r>
      <w:r w:rsidR="008C4820" w:rsidRPr="001F0C7A">
        <w:t>(par exemple le guide méthodologique de capitalisation livré par l’ANACT suite à l’action collective innovante et apprenante conduite dans un groupe d’EHPAD volontaires)</w:t>
      </w:r>
      <w:r w:rsidR="00307A04">
        <w:t xml:space="preserve">. </w:t>
      </w:r>
      <w:r>
        <w:t>La méthode et la gestion pratique des contenus devront être à la fois simples et comporter un système de modérat</w:t>
      </w:r>
      <w:r w:rsidR="00D962CC">
        <w:t xml:space="preserve">ion qui permette de garantir leur </w:t>
      </w:r>
      <w:r>
        <w:t xml:space="preserve">qualité. </w:t>
      </w:r>
    </w:p>
    <w:p w14:paraId="1A018D1B" w14:textId="51194A54" w:rsidR="001F0C7A" w:rsidRDefault="00307A04" w:rsidP="001F0C7A">
      <w:r>
        <w:t xml:space="preserve">La création d’un espace numérique national, qui renverra avec une fonction de géolocalisation vers des espaces régionaux portés par les ARS </w:t>
      </w:r>
      <w:r w:rsidR="00BA2609">
        <w:t xml:space="preserve">est </w:t>
      </w:r>
      <w:r>
        <w:t>prévu</w:t>
      </w:r>
      <w:r w:rsidR="00BA2609">
        <w:t>e</w:t>
      </w:r>
      <w:r>
        <w:t xml:space="preserve"> </w:t>
      </w:r>
      <w:r w:rsidRPr="009E0536">
        <w:t>par</w:t>
      </w:r>
      <w:r w:rsidRPr="009E0536">
        <w:rPr>
          <w:b/>
        </w:rPr>
        <w:t xml:space="preserve"> l’instruction </w:t>
      </w:r>
      <w:r w:rsidR="00BA2609" w:rsidRPr="009E0536">
        <w:rPr>
          <w:b/>
        </w:rPr>
        <w:t>DGCS/4B/2018/177 relative à la mise en œuvre de d’une stratégie de promotion de la qualité de vie au travail dans les établissements médico-sociaux (EHPAD et établissements accueillant des personnes handicapées)</w:t>
      </w:r>
      <w:r w:rsidR="00BA2609">
        <w:t xml:space="preserve">. </w:t>
      </w:r>
    </w:p>
    <w:p w14:paraId="7282763B" w14:textId="4F706FA3" w:rsidR="00D77D4B" w:rsidRPr="00430E27" w:rsidRDefault="00D77D4B" w:rsidP="00240E0D">
      <w:pPr>
        <w:pStyle w:val="Titre3"/>
      </w:pPr>
      <w:bookmarkStart w:id="21" w:name="_Toc77328924"/>
      <w:r w:rsidRPr="00430E27">
        <w:t>Renforcer le pilotage de la QVT/sinistralité pour une meilleure efficacité des aides proposées</w:t>
      </w:r>
      <w:r w:rsidR="00746065">
        <w:t xml:space="preserve"> et sécu</w:t>
      </w:r>
      <w:r w:rsidR="009E0536">
        <w:t>riser son intégration avec le P</w:t>
      </w:r>
      <w:r w:rsidR="00746065">
        <w:t>ST</w:t>
      </w:r>
      <w:bookmarkEnd w:id="21"/>
    </w:p>
    <w:p w14:paraId="11FEB065" w14:textId="2C99F2DE" w:rsidR="00D77D4B" w:rsidRPr="00430E27" w:rsidRDefault="00963734" w:rsidP="005A6D78">
      <w:pPr>
        <w:pStyle w:val="Titre4"/>
        <w:rPr>
          <w:i w:val="0"/>
        </w:rPr>
      </w:pPr>
      <w:r>
        <w:rPr>
          <w:i w:val="0"/>
        </w:rPr>
        <w:t xml:space="preserve">Une </w:t>
      </w:r>
      <w:r w:rsidR="00255B45">
        <w:rPr>
          <w:i w:val="0"/>
        </w:rPr>
        <w:t>impulsion</w:t>
      </w:r>
      <w:r>
        <w:rPr>
          <w:i w:val="0"/>
        </w:rPr>
        <w:t xml:space="preserve"> </w:t>
      </w:r>
      <w:r w:rsidR="00255B45">
        <w:rPr>
          <w:i w:val="0"/>
        </w:rPr>
        <w:t xml:space="preserve">interministérielle forte </w:t>
      </w:r>
      <w:r>
        <w:rPr>
          <w:i w:val="0"/>
        </w:rPr>
        <w:t>…</w:t>
      </w:r>
    </w:p>
    <w:p w14:paraId="60FF0F35" w14:textId="108C2385" w:rsidR="008C003D" w:rsidRDefault="00963734" w:rsidP="0063665D">
      <w:pPr>
        <w:spacing w:after="0"/>
      </w:pPr>
      <w:r>
        <w:t>La CNAM</w:t>
      </w:r>
      <w:r w:rsidR="00FD75BD">
        <w:t xml:space="preserve"> / </w:t>
      </w:r>
      <w:r>
        <w:t>Direction des risques professionnels, la CNSA et les départements agissent pour favoriser l’amélioration des conditions de t</w:t>
      </w:r>
      <w:r w:rsidR="006A183A">
        <w:t xml:space="preserve">ravail dans le secteur, chacun dans sa logique (assurantielle ou subvention de soutien </w:t>
      </w:r>
      <w:r w:rsidR="00FD75BD">
        <w:t>en fonction d’</w:t>
      </w:r>
      <w:r w:rsidR="006A183A">
        <w:t xml:space="preserve">axes politiques), mais sans </w:t>
      </w:r>
      <w:r w:rsidR="006D536B">
        <w:t xml:space="preserve">grande </w:t>
      </w:r>
      <w:r w:rsidR="006A183A">
        <w:t xml:space="preserve">concertation. </w:t>
      </w:r>
      <w:r w:rsidR="006D536B">
        <w:t>Pourtant, l</w:t>
      </w:r>
      <w:r w:rsidR="006A183A">
        <w:t xml:space="preserve">e ministère du travail poursuit de son côté son action au travers des Plans santé au travail (le quatrième devrait </w:t>
      </w:r>
      <w:r w:rsidR="0063665D">
        <w:t>démarrer à la fin du premier trimestre 2022)</w:t>
      </w:r>
      <w:r w:rsidR="008C003D">
        <w:t xml:space="preserve">, en </w:t>
      </w:r>
      <w:r w:rsidR="00120FE7">
        <w:t xml:space="preserve">cherchant à </w:t>
      </w:r>
      <w:r w:rsidR="008C003D">
        <w:t>articuler ces politiques publiques</w:t>
      </w:r>
      <w:r w:rsidR="0063665D">
        <w:t xml:space="preserve">. </w:t>
      </w:r>
      <w:r w:rsidR="008C003D">
        <w:t>Ainsi l</w:t>
      </w:r>
      <w:r w:rsidR="0063665D">
        <w:t>e PST3, 2016-20</w:t>
      </w:r>
      <w:r w:rsidR="008C003D">
        <w:t>,</w:t>
      </w:r>
      <w:r w:rsidR="0063665D">
        <w:t xml:space="preserve"> a notamment pour objectif de </w:t>
      </w:r>
      <w:r w:rsidR="0063665D" w:rsidRPr="00120FE7">
        <w:rPr>
          <w:i/>
        </w:rPr>
        <w:t xml:space="preserve">« traduire une ambition partagée et de constituer un socle commun pour la définition et la programmation des actions de l’ensemble des partenaires institutionnels, et notamment des principaux réseaux de prévention, qu’il s’agisse de l’État et de ses services déconcentrés, de la branche accidents du travail-maladies professionnelles (AT-MP) de la </w:t>
      </w:r>
      <w:proofErr w:type="spellStart"/>
      <w:r w:rsidR="0063665D" w:rsidRPr="00120FE7">
        <w:rPr>
          <w:i/>
        </w:rPr>
        <w:t>Cnamts</w:t>
      </w:r>
      <w:proofErr w:type="spellEnd"/>
      <w:r w:rsidR="0063665D" w:rsidRPr="00120FE7">
        <w:rPr>
          <w:i/>
        </w:rPr>
        <w:t>, dont la convention d’objectifs et de gestion (COG) pour 2014-2017 renvoie elle-même au Plan santé au travail, ou des services de santé au travail</w:t>
      </w:r>
      <w:r w:rsidR="0063665D">
        <w:t xml:space="preserve"> ». </w:t>
      </w:r>
      <w:r w:rsidR="00947CFD">
        <w:t xml:space="preserve">Cela a conduit à des opérations communes </w:t>
      </w:r>
      <w:r w:rsidR="008C003D">
        <w:t xml:space="preserve">à plusieurs parties prenantes, sans les associer toutes, </w:t>
      </w:r>
      <w:r w:rsidR="00947CFD">
        <w:t>dans plusieurs régions (</w:t>
      </w:r>
      <w:r w:rsidR="008C003D">
        <w:t xml:space="preserve">Bourgogne Franche Comté, Centre Val de Loire, Hauts de France et Nouvelle Aquitaine, Provence Alpes Côte d’Azur). Le bilan du PST3 est en cours de réalisation et donnera des informations plus complètes. </w:t>
      </w:r>
    </w:p>
    <w:p w14:paraId="138CB8B5" w14:textId="6978C7BD" w:rsidR="00120FE7" w:rsidRDefault="00120FE7" w:rsidP="00120FE7">
      <w:pPr>
        <w:spacing w:after="0"/>
        <w:rPr>
          <w:i/>
          <w:color w:val="FF0000"/>
        </w:rPr>
      </w:pPr>
      <w:r w:rsidRPr="00120FE7">
        <w:rPr>
          <w:i/>
          <w:color w:val="FF0000"/>
        </w:rPr>
        <w:lastRenderedPageBreak/>
        <w:t xml:space="preserve">Une démarche interministérielle </w:t>
      </w:r>
      <w:r w:rsidR="00FD75BD">
        <w:rPr>
          <w:i/>
          <w:color w:val="FF0000"/>
        </w:rPr>
        <w:t>associant</w:t>
      </w:r>
      <w:r w:rsidRPr="00120FE7">
        <w:rPr>
          <w:i/>
          <w:color w:val="FF0000"/>
        </w:rPr>
        <w:t xml:space="preserve"> notamment les ministères de Travail et de la Santé pourrait permettre d’avancer de façon plus décisive en ce sens. Cela pourrait se traduire par u</w:t>
      </w:r>
      <w:r w:rsidR="006A183A" w:rsidRPr="00120FE7">
        <w:rPr>
          <w:i/>
          <w:color w:val="FF0000"/>
        </w:rPr>
        <w:t xml:space="preserve">ne convention </w:t>
      </w:r>
      <w:r w:rsidR="006F51A1" w:rsidRPr="00120FE7">
        <w:rPr>
          <w:i/>
          <w:color w:val="FF0000"/>
        </w:rPr>
        <w:t>pluriannuelle précisant les objectifs partagés et les en</w:t>
      </w:r>
      <w:r w:rsidR="006A183A" w:rsidRPr="00120FE7">
        <w:rPr>
          <w:i/>
          <w:color w:val="FF0000"/>
        </w:rPr>
        <w:t xml:space="preserve">gagements financiers </w:t>
      </w:r>
      <w:r w:rsidRPr="00120FE7">
        <w:rPr>
          <w:i/>
          <w:color w:val="FF0000"/>
        </w:rPr>
        <w:t xml:space="preserve">associant la CNAM, la CNSA, les représentants des départements et la DGT. </w:t>
      </w:r>
    </w:p>
    <w:p w14:paraId="3E4B6A4C" w14:textId="77777777" w:rsidR="00761943" w:rsidRDefault="00120FE7" w:rsidP="00761943">
      <w:r>
        <w:t xml:space="preserve">La DSS et la DGCS ont accueilli avec intérêt la démarche. </w:t>
      </w:r>
      <w:r w:rsidR="00761943">
        <w:t xml:space="preserve">Une première réunion a eu lieu avec la DSS, la CNAM (DRP) et la DGCS. La CNSA qui n’était pas représentée a été informée séparément. </w:t>
      </w:r>
    </w:p>
    <w:p w14:paraId="21599EEF" w14:textId="4DB94F1D" w:rsidR="00761943" w:rsidRPr="00FD75BD" w:rsidRDefault="00761943" w:rsidP="00120FE7">
      <w:pPr>
        <w:rPr>
          <w:i/>
          <w:color w:val="FF0000"/>
        </w:rPr>
      </w:pPr>
      <w:r w:rsidRPr="00FD75BD">
        <w:rPr>
          <w:i/>
          <w:color w:val="FF0000"/>
        </w:rPr>
        <w:t>En complément, la structuration du partenariat national sur la QVT-sinistralité (pilotage DGCS-DGOS) pourrait être intégré</w:t>
      </w:r>
      <w:r w:rsidR="006C14C3" w:rsidRPr="00FD75BD">
        <w:rPr>
          <w:i/>
          <w:color w:val="FF0000"/>
        </w:rPr>
        <w:t xml:space="preserve"> </w:t>
      </w:r>
      <w:r w:rsidRPr="00FD75BD">
        <w:rPr>
          <w:i/>
          <w:color w:val="FF0000"/>
        </w:rPr>
        <w:t xml:space="preserve">dans les COG de la CNSA et de la CNAM-DRP. </w:t>
      </w:r>
    </w:p>
    <w:p w14:paraId="763BFCE4" w14:textId="0CAC0A06" w:rsidR="00746065" w:rsidRPr="00746065" w:rsidRDefault="00963734" w:rsidP="00963734">
      <w:pPr>
        <w:pStyle w:val="Titre4"/>
      </w:pPr>
      <w:r>
        <w:t xml:space="preserve">… support de la mise en place d’une gouvernance </w:t>
      </w:r>
      <w:r w:rsidR="00D912BB">
        <w:t xml:space="preserve">et animation </w:t>
      </w:r>
      <w:r>
        <w:t>territoriale</w:t>
      </w:r>
      <w:r w:rsidR="00D912BB">
        <w:t>s</w:t>
      </w:r>
      <w:r>
        <w:t xml:space="preserve"> pour cibler l’effort sur les employeurs qui en ont le plus besoin</w:t>
      </w:r>
    </w:p>
    <w:p w14:paraId="623B0280" w14:textId="37BBD697" w:rsidR="00761943" w:rsidRDefault="00FD75BD" w:rsidP="00CA7C43">
      <w:r>
        <w:t>C</w:t>
      </w:r>
      <w:r w:rsidR="00255B45">
        <w:t xml:space="preserve">ette impulsion interministérielle </w:t>
      </w:r>
      <w:r>
        <w:t>a vocation à</w:t>
      </w:r>
      <w:r w:rsidR="00255B45">
        <w:t xml:space="preserve"> créer les conditions pour articuler la programmation </w:t>
      </w:r>
      <w:r w:rsidR="00120FE7" w:rsidRPr="00255B45">
        <w:t>régio</w:t>
      </w:r>
      <w:r w:rsidR="009E0536">
        <w:t xml:space="preserve">nale ARS/CARSAT/CD avec le PRST </w:t>
      </w:r>
      <w:r w:rsidR="00120FE7" w:rsidRPr="00255B45">
        <w:t xml:space="preserve">sur le champ de la QVT/sinistralité. </w:t>
      </w:r>
      <w:r>
        <w:t>S</w:t>
      </w:r>
      <w:r w:rsidR="00746065" w:rsidRPr="00255B45">
        <w:t>tructurer une gouvernance territoriale appuyée sur un triptyque ARS/CARSAT/CD</w:t>
      </w:r>
      <w:r w:rsidR="00761943">
        <w:t xml:space="preserve"> s’inscrivant dans les PRST portés par les DREETS</w:t>
      </w:r>
      <w:r w:rsidR="00746065" w:rsidRPr="00255B45">
        <w:t xml:space="preserve">, </w:t>
      </w:r>
      <w:r>
        <w:t>permettrait de</w:t>
      </w:r>
      <w:r w:rsidR="00746065" w:rsidRPr="00255B45">
        <w:t xml:space="preserve"> définir des objectifs partagés et </w:t>
      </w:r>
      <w:r>
        <w:t xml:space="preserve">de </w:t>
      </w:r>
      <w:r w:rsidR="00746065" w:rsidRPr="00255B45">
        <w:t>mettre en place une programmation commune d’actions précisant les engagements financiers respectifs</w:t>
      </w:r>
      <w:r w:rsidR="00761943">
        <w:t>.</w:t>
      </w:r>
      <w:r w:rsidR="00D912BB">
        <w:t xml:space="preserve"> </w:t>
      </w:r>
      <w:r w:rsidR="00741F62">
        <w:t>Il s’agira notamment de fonder l’action sur une identification partagée des employeurs les plus en difficulté pour aller vers ces structures et agir prioritairement sur les situations les plus critiques</w:t>
      </w:r>
      <w:r w:rsidR="00B34BFE">
        <w:t xml:space="preserve"> en s’appuyant sur un partage d’informations</w:t>
      </w:r>
      <w:r w:rsidR="00965057">
        <w:t xml:space="preserve"> au niveau régional</w:t>
      </w:r>
      <w:r w:rsidR="00965057" w:rsidRPr="00965057">
        <w:rPr>
          <w:vertAlign w:val="superscript"/>
        </w:rPr>
        <w:footnoteReference w:id="17"/>
      </w:r>
      <w:r w:rsidR="00B34BFE">
        <w:t xml:space="preserve">. </w:t>
      </w:r>
    </w:p>
    <w:p w14:paraId="0199BF39" w14:textId="589343EF" w:rsidR="00B13AE8" w:rsidRPr="00B13AE8" w:rsidRDefault="008001B0" w:rsidP="00B13AE8">
      <w:r>
        <w:t xml:space="preserve">Les conventions signées par la CNSA avec les OPCO et les financements qu’elles emportent seront idéalement intégrés à </w:t>
      </w:r>
      <w:r w:rsidR="00B13AE8">
        <w:t xml:space="preserve">cette stratégie d’articulation de ciblage des financements régionaux. Cette démarche pourra être étendue </w:t>
      </w:r>
      <w:r w:rsidR="00B13AE8" w:rsidRPr="00B13AE8">
        <w:t>à d’autres financeurs nationaux volontaires (fonds de prévention de la CNRACL, CNFPT,</w:t>
      </w:r>
      <w:r w:rsidR="00B13AE8">
        <w:t xml:space="preserve"> AGIRC-ARCO, Mutualité, etc.). </w:t>
      </w:r>
    </w:p>
    <w:p w14:paraId="3B68907E" w14:textId="2CCA5980" w:rsidR="00D912BB" w:rsidRDefault="00CA7C43" w:rsidP="00CA7C43">
      <w:r>
        <w:t xml:space="preserve">L’animation territoriale pourrait être renforcée dans ce cadre, notamment pour favoriser </w:t>
      </w:r>
      <w:r w:rsidRPr="00430E27">
        <w:t>l’échange d’expériences entre structures et la communication sur l</w:t>
      </w:r>
      <w:r>
        <w:t xml:space="preserve">es dynamiques QVT/sinistralité. Elle pourrait notamment </w:t>
      </w:r>
      <w:r w:rsidR="00FD75BD">
        <w:t>concourir au</w:t>
      </w:r>
      <w:r>
        <w:t xml:space="preserve"> développement de communautés managériales mentionnées précédemment (</w:t>
      </w:r>
      <w:r w:rsidR="009E0536">
        <w:rPr>
          <w:i/>
        </w:rPr>
        <w:t xml:space="preserve">cf. supra </w:t>
      </w:r>
      <w:r w:rsidRPr="00CA7C43">
        <w:rPr>
          <w:i/>
        </w:rPr>
        <w:t>2.2.1</w:t>
      </w:r>
      <w:r>
        <w:t xml:space="preserve">). </w:t>
      </w:r>
    </w:p>
    <w:p w14:paraId="3116C810" w14:textId="6FD36D89" w:rsidR="00741F62" w:rsidRDefault="00761943" w:rsidP="00CA7C43">
      <w:r>
        <w:t xml:space="preserve">En complément, </w:t>
      </w:r>
      <w:r w:rsidR="00746065" w:rsidRPr="00255B45">
        <w:t xml:space="preserve">le périmètre de la conférence des financeurs </w:t>
      </w:r>
      <w:r>
        <w:t xml:space="preserve">pourrait être </w:t>
      </w:r>
      <w:r w:rsidR="00D912BB">
        <w:t xml:space="preserve">étendu </w:t>
      </w:r>
      <w:r w:rsidR="00746065" w:rsidRPr="00255B45">
        <w:t xml:space="preserve">à la QVT/sinistralité afin de renforcer la pertinence et l’efficacité des aides apportées par les divers financeurs en cohérence avec </w:t>
      </w:r>
      <w:r w:rsidR="00D912BB">
        <w:t>les priorités de programmation.</w:t>
      </w:r>
      <w:r w:rsidR="00746065" w:rsidRPr="00255B45">
        <w:t xml:space="preserve"> Là encore, l’association des DREETS permettrait de conjuguer les efforts engagés au p</w:t>
      </w:r>
      <w:r w:rsidR="008001B0">
        <w:t>rofit de la prévention primaire et</w:t>
      </w:r>
      <w:r w:rsidR="00746065" w:rsidRPr="00255B45">
        <w:t xml:space="preserve"> du développement de la qualité de vie au travail.</w:t>
      </w:r>
      <w:r w:rsidR="00CA7C43">
        <w:t xml:space="preserve"> </w:t>
      </w:r>
    </w:p>
    <w:p w14:paraId="712186ED" w14:textId="727EB242" w:rsidR="00B34BFE" w:rsidRDefault="00CA7C43" w:rsidP="00B34BFE">
      <w:r>
        <w:t xml:space="preserve">Le volet </w:t>
      </w:r>
      <w:r w:rsidR="008E0F40" w:rsidRPr="00430E27">
        <w:t xml:space="preserve">QVT/sinistralité </w:t>
      </w:r>
      <w:r>
        <w:t xml:space="preserve">pourrait être intégré systématiquement </w:t>
      </w:r>
      <w:r w:rsidR="008E0F40" w:rsidRPr="00430E27">
        <w:t>aux dialogues de gestion et CPOM avec les structures (mobilisant les outils</w:t>
      </w:r>
      <w:r>
        <w:t xml:space="preserve"> de diagnostic et de suivi)</w:t>
      </w:r>
      <w:r w:rsidR="00741F62">
        <w:t xml:space="preserve"> </w:t>
      </w:r>
      <w:r w:rsidR="00741F62" w:rsidRPr="00741F62">
        <w:t>en systématisant l’exploitation des indicateurs pertinents du tableau de bord de la performance</w:t>
      </w:r>
      <w:r w:rsidR="00741F62">
        <w:t>,</w:t>
      </w:r>
      <w:r w:rsidR="00741F62" w:rsidRPr="00741F62">
        <w:t xml:space="preserve"> afin de cibler les structures qui doivent impérativement enga</w:t>
      </w:r>
      <w:r w:rsidR="00741F62">
        <w:t>ger des actions d’amélioration</w:t>
      </w:r>
      <w:r>
        <w:t>. A terme, la</w:t>
      </w:r>
      <w:r w:rsidR="008E0F40" w:rsidRPr="00430E27">
        <w:t xml:space="preserve"> QVT/sinistralité </w:t>
      </w:r>
      <w:r>
        <w:t xml:space="preserve">pourrait être partie intégrante de </w:t>
      </w:r>
      <w:r w:rsidR="008E0F40" w:rsidRPr="00430E27">
        <w:t>la tarification des s</w:t>
      </w:r>
      <w:r w:rsidR="00B34BFE">
        <w:t xml:space="preserve">tructures et </w:t>
      </w:r>
      <w:r w:rsidR="008001B0">
        <w:t xml:space="preserve">de </w:t>
      </w:r>
      <w:r w:rsidR="00B34BFE">
        <w:t>la certification</w:t>
      </w:r>
      <w:r w:rsidR="008001B0">
        <w:t> ;</w:t>
      </w:r>
      <w:r w:rsidR="00B34BFE">
        <w:t xml:space="preserve"> une partie des</w:t>
      </w:r>
      <w:r w:rsidR="008001B0">
        <w:t xml:space="preserve"> aides financières pourrai</w:t>
      </w:r>
      <w:r w:rsidR="00C0195F">
        <w:t>t être conditionnée</w:t>
      </w:r>
      <w:r w:rsidR="00B34BFE">
        <w:t xml:space="preserve"> au </w:t>
      </w:r>
      <w:r w:rsidR="00B34BFE" w:rsidRPr="00B34BFE">
        <w:t>renseignement effectif des indicateurs QVT/sinistralité du tableau de bord de la performance</w:t>
      </w:r>
      <w:r w:rsidR="00B34BFE" w:rsidRPr="00B34BFE">
        <w:rPr>
          <w:vertAlign w:val="superscript"/>
        </w:rPr>
        <w:footnoteReference w:id="18"/>
      </w:r>
      <w:r w:rsidR="00B34BFE" w:rsidRPr="00B34BFE">
        <w:t xml:space="preserve"> et, à terme, à l’engagement des actions d’amélioration définies dans le cadre des dialogues de ges</w:t>
      </w:r>
      <w:r w:rsidR="00B34BFE">
        <w:t xml:space="preserve">tion et des CPOM. </w:t>
      </w:r>
    </w:p>
    <w:p w14:paraId="3E7B1936" w14:textId="75660BD1" w:rsidR="00B34BFE" w:rsidRDefault="008001B0" w:rsidP="00B34BFE">
      <w:pPr>
        <w:rPr>
          <w:i/>
          <w:color w:val="FF0000"/>
        </w:rPr>
      </w:pPr>
      <w:r w:rsidRPr="00741F62">
        <w:rPr>
          <w:i/>
          <w:color w:val="FF0000"/>
        </w:rPr>
        <w:t xml:space="preserve">Des travaux préalables devront être conduits pour dessiner les perspectives et modalités d’intégration d’indicateurs QVT/sinistralité dans la tarification des structures, pour flécher à terme une fraction des crédits contractualisés sur l’amélioration des indicateurs QVT-sinistralité (ESMS + SAAD). Ils </w:t>
      </w:r>
      <w:r w:rsidRPr="00741F62">
        <w:rPr>
          <w:i/>
          <w:color w:val="FF0000"/>
        </w:rPr>
        <w:lastRenderedPageBreak/>
        <w:t>s’appuieront sur une</w:t>
      </w:r>
      <w:r w:rsidR="00C0195F">
        <w:rPr>
          <w:i/>
          <w:color w:val="FF0000"/>
        </w:rPr>
        <w:t xml:space="preserve"> concertation avec les acteurs ; il</w:t>
      </w:r>
      <w:r w:rsidR="00B34BFE">
        <w:rPr>
          <w:i/>
          <w:color w:val="FF0000"/>
        </w:rPr>
        <w:t xml:space="preserve"> s’agira </w:t>
      </w:r>
      <w:r w:rsidR="00C0195F">
        <w:rPr>
          <w:i/>
          <w:color w:val="FF0000"/>
        </w:rPr>
        <w:t>notamment</w:t>
      </w:r>
      <w:r w:rsidR="00B34BFE">
        <w:rPr>
          <w:i/>
          <w:color w:val="FF0000"/>
        </w:rPr>
        <w:t xml:space="preserve"> de r</w:t>
      </w:r>
      <w:r w:rsidR="00B34BFE" w:rsidRPr="00B34BFE">
        <w:rPr>
          <w:i/>
          <w:color w:val="FF0000"/>
        </w:rPr>
        <w:t>ecueillir</w:t>
      </w:r>
      <w:r>
        <w:rPr>
          <w:i/>
          <w:color w:val="FF0000"/>
        </w:rPr>
        <w:t xml:space="preserve"> </w:t>
      </w:r>
      <w:r w:rsidR="00B34BFE" w:rsidRPr="00B34BFE">
        <w:rPr>
          <w:i/>
          <w:color w:val="FF0000"/>
        </w:rPr>
        <w:t>le point de vue préalable des ARS dans le cadre de la réunion DOSM</w:t>
      </w:r>
      <w:r w:rsidR="00B34BFE">
        <w:rPr>
          <w:i/>
          <w:color w:val="FF0000"/>
        </w:rPr>
        <w:t xml:space="preserve"> des ARS</w:t>
      </w:r>
      <w:r w:rsidR="00B34BFE" w:rsidRPr="00B34BFE">
        <w:rPr>
          <w:i/>
          <w:color w:val="FF0000"/>
        </w:rPr>
        <w:t xml:space="preserve"> à programmer</w:t>
      </w:r>
      <w:r w:rsidR="00B34BFE">
        <w:rPr>
          <w:i/>
          <w:color w:val="FF0000"/>
        </w:rPr>
        <w:t>.</w:t>
      </w:r>
    </w:p>
    <w:p w14:paraId="4BBB462E" w14:textId="4C745C8A" w:rsidR="00741F62" w:rsidRPr="00B13AE8" w:rsidRDefault="00B34BFE" w:rsidP="00B13AE8">
      <w:pPr>
        <w:rPr>
          <w:i/>
          <w:color w:val="FF0000"/>
        </w:rPr>
      </w:pPr>
      <w:r>
        <w:rPr>
          <w:i/>
          <w:color w:val="FF0000"/>
        </w:rPr>
        <w:t>L</w:t>
      </w:r>
      <w:r w:rsidRPr="00B34BFE">
        <w:rPr>
          <w:i/>
          <w:color w:val="FF0000"/>
        </w:rPr>
        <w:t xml:space="preserve">’instruction </w:t>
      </w:r>
      <w:r w:rsidRPr="00B34BFE">
        <w:rPr>
          <w:color w:val="FF0000"/>
        </w:rPr>
        <w:t>DGCS/4B/2018/177 relative à la mise en œuvre d’une stratégie de promotion de la qualité de vie au travail dans les établissements médico-sociaux (EHPAD et établissements accueillant des personnes handicapées)</w:t>
      </w:r>
      <w:r w:rsidRPr="00B34BFE">
        <w:rPr>
          <w:i/>
          <w:color w:val="FF0000"/>
        </w:rPr>
        <w:t xml:space="preserve"> </w:t>
      </w:r>
      <w:r>
        <w:rPr>
          <w:i/>
          <w:color w:val="FF0000"/>
        </w:rPr>
        <w:t>pourrait être actualisée pour intégrer ces mesures</w:t>
      </w:r>
      <w:r w:rsidR="00B13AE8">
        <w:rPr>
          <w:i/>
          <w:color w:val="FF0000"/>
        </w:rPr>
        <w:t xml:space="preserve"> </w:t>
      </w:r>
      <w:r w:rsidR="00B13AE8" w:rsidRPr="00B13AE8">
        <w:rPr>
          <w:i/>
          <w:color w:val="FF0000"/>
        </w:rPr>
        <w:t>(</w:t>
      </w:r>
      <w:r w:rsidR="00D77D4B" w:rsidRPr="00B13AE8">
        <w:rPr>
          <w:i/>
          <w:color w:val="FF0000"/>
        </w:rPr>
        <w:t>gouvernance territoriale QV</w:t>
      </w:r>
      <w:r w:rsidR="00B13AE8" w:rsidRPr="00B13AE8">
        <w:rPr>
          <w:i/>
          <w:color w:val="FF0000"/>
        </w:rPr>
        <w:t xml:space="preserve">T-sinistralité (pilotage DGCS), </w:t>
      </w:r>
      <w:r w:rsidR="00D77D4B" w:rsidRPr="00B13AE8">
        <w:rPr>
          <w:i/>
          <w:color w:val="FF0000"/>
        </w:rPr>
        <w:t>intégration de la QVT aux dialogues de gestion</w:t>
      </w:r>
      <w:r w:rsidR="00B13AE8" w:rsidRPr="00B13AE8">
        <w:rPr>
          <w:i/>
          <w:color w:val="FF0000"/>
        </w:rPr>
        <w:t xml:space="preserve">, </w:t>
      </w:r>
      <w:r w:rsidR="00D77D4B" w:rsidRPr="00B13AE8">
        <w:rPr>
          <w:i/>
          <w:color w:val="FF0000"/>
        </w:rPr>
        <w:t>intégration d</w:t>
      </w:r>
      <w:r w:rsidR="00152D42" w:rsidRPr="00B13AE8">
        <w:rPr>
          <w:i/>
          <w:color w:val="FF0000"/>
        </w:rPr>
        <w:t>es i</w:t>
      </w:r>
      <w:r w:rsidR="00D77D4B" w:rsidRPr="00B13AE8">
        <w:rPr>
          <w:i/>
          <w:color w:val="FF0000"/>
        </w:rPr>
        <w:t>ndicateurs QVT-sinistralité aux CPOM (pilotage DGCS)</w:t>
      </w:r>
      <w:r w:rsidR="00B13AE8">
        <w:rPr>
          <w:i/>
          <w:color w:val="FF0000"/>
        </w:rPr>
        <w:t>, a</w:t>
      </w:r>
      <w:r w:rsidR="008C4820" w:rsidRPr="00B13AE8">
        <w:rPr>
          <w:i/>
          <w:color w:val="FF0000"/>
        </w:rPr>
        <w:t>ncrer la QVT/sinistralité dans les dialogues</w:t>
      </w:r>
      <w:r w:rsidR="00B13AE8">
        <w:rPr>
          <w:i/>
          <w:color w:val="FF0000"/>
        </w:rPr>
        <w:t xml:space="preserve"> de gestion annuels et les CPOM). </w:t>
      </w:r>
    </w:p>
    <w:p w14:paraId="32EC5AB3" w14:textId="77777777" w:rsidR="008C4820" w:rsidRPr="00240E0D" w:rsidRDefault="008C4820" w:rsidP="008C4820">
      <w:pPr>
        <w:rPr>
          <w:i/>
        </w:rPr>
      </w:pPr>
      <w:r w:rsidRPr="00240E0D">
        <w:rPr>
          <w:i/>
          <w:color w:val="FF0000"/>
        </w:rPr>
        <w:t xml:space="preserve">Ces mesures seront précisées via des séances de travail avec la CNSA, la branche AT-MP, l’ONQVT, les ARS, les CARSAT, les fédérations d’employeurs et quelques CD et structures (supports des mesures, processus de production, échéancier). </w:t>
      </w:r>
      <w:r w:rsidRPr="00240E0D">
        <w:rPr>
          <w:i/>
        </w:rPr>
        <w:t xml:space="preserve">    </w:t>
      </w:r>
    </w:p>
    <w:p w14:paraId="2C96CBFF" w14:textId="30690F3D" w:rsidR="00D77D4B" w:rsidRPr="00430E27" w:rsidRDefault="00B13AE8" w:rsidP="00D77D4B">
      <w:pPr>
        <w:pStyle w:val="Titre3"/>
      </w:pPr>
      <w:bookmarkStart w:id="22" w:name="_Toc77328925"/>
      <w:r>
        <w:t>Déployer</w:t>
      </w:r>
      <w:r w:rsidR="00D77D4B" w:rsidRPr="00430E27">
        <w:t xml:space="preserve"> les outils numériques favorisant l’autonomie des équipes et la QVT </w:t>
      </w:r>
      <w:r>
        <w:t>dans les services à</w:t>
      </w:r>
      <w:r w:rsidR="00D77D4B" w:rsidRPr="00430E27">
        <w:t xml:space="preserve"> domicile</w:t>
      </w:r>
      <w:bookmarkEnd w:id="22"/>
    </w:p>
    <w:p w14:paraId="2FFD4ADE" w14:textId="76ED6C63" w:rsidR="00B13AE8" w:rsidRDefault="005C5458" w:rsidP="005C5458">
      <w:r>
        <w:t>Certaines entreprises, plus rarement des associations, ont intégré à leur fonctionnement l’usage d’applications numériques et équipé leurs intervenants à domicile</w:t>
      </w:r>
      <w:r w:rsidR="00395205">
        <w:t xml:space="preserve"> de smartphones</w:t>
      </w:r>
      <w:r>
        <w:t xml:space="preserve"> pour les utiliser. Ces outils représentent un support indispensable pour le développement des équipes autonomes. Ils sont plus largement précieux pour que les intervenants partagent les transmissions concernant les services et soins à apporter aux personnes aidées. Enfin, ils peuvent </w:t>
      </w:r>
      <w:r w:rsidR="00395205">
        <w:t>constituer</w:t>
      </w:r>
      <w:r>
        <w:t xml:space="preserve"> un levier pour </w:t>
      </w:r>
      <w:r w:rsidR="00C0195F">
        <w:t>que les responsables de secteur</w:t>
      </w:r>
      <w:r>
        <w:t xml:space="preserve"> ne soient pas consommés exclusivement </w:t>
      </w:r>
      <w:r w:rsidR="00C0195F">
        <w:t>à la gestion des</w:t>
      </w:r>
      <w:r>
        <w:t xml:space="preserve"> emplois du temps et à leurs évolutions, mais puissent </w:t>
      </w:r>
      <w:r w:rsidR="00395205">
        <w:t xml:space="preserve">apporter un soutien managérial de proximité aux intervenants et </w:t>
      </w:r>
      <w:r>
        <w:t xml:space="preserve">consacrer du temps au règlement de leurs problèmes du quotidien pour concourir à améliorer leurs conditions de travail. </w:t>
      </w:r>
    </w:p>
    <w:p w14:paraId="1F7E1084" w14:textId="0C354978" w:rsidR="00395205" w:rsidRDefault="00395205" w:rsidP="005C5458">
      <w:pPr>
        <w:rPr>
          <w:i/>
          <w:color w:val="FF0000"/>
        </w:rPr>
      </w:pPr>
      <w:r>
        <w:rPr>
          <w:i/>
          <w:color w:val="FF0000"/>
        </w:rPr>
        <w:t xml:space="preserve">Un état des lieux des équipements utilisés et de leur coût </w:t>
      </w:r>
      <w:r w:rsidR="00C0195F">
        <w:rPr>
          <w:i/>
          <w:color w:val="FF0000"/>
        </w:rPr>
        <w:t xml:space="preserve">permettrait </w:t>
      </w:r>
      <w:r>
        <w:rPr>
          <w:i/>
          <w:color w:val="FF0000"/>
        </w:rPr>
        <w:t>de dimensionner l’effort. Un appel à projet pourrait être lancé au dernier quadrimestre</w:t>
      </w:r>
      <w:r w:rsidR="00C0195F">
        <w:rPr>
          <w:i/>
          <w:color w:val="FF0000"/>
        </w:rPr>
        <w:t>,</w:t>
      </w:r>
      <w:r>
        <w:rPr>
          <w:i/>
          <w:color w:val="FF0000"/>
        </w:rPr>
        <w:t xml:space="preserve"> financé par le reliquat de crédit du PLFSS 2021 laissé par l’application au 1</w:t>
      </w:r>
      <w:r w:rsidRPr="00395205">
        <w:rPr>
          <w:i/>
          <w:color w:val="FF0000"/>
          <w:vertAlign w:val="superscript"/>
        </w:rPr>
        <w:t>er</w:t>
      </w:r>
      <w:r>
        <w:rPr>
          <w:i/>
          <w:color w:val="FF0000"/>
        </w:rPr>
        <w:t xml:space="preserve"> octobre de l’avenant 43. </w:t>
      </w:r>
    </w:p>
    <w:p w14:paraId="3368AFBB" w14:textId="0803FA83" w:rsidR="00BC7542" w:rsidRPr="00BC7542" w:rsidRDefault="00BC7542" w:rsidP="00BC7542">
      <w:r>
        <w:t>Ces ressources numériques pourront être mises en ligne sur l’espace numérique national qu’il est prévu de développer (</w:t>
      </w:r>
      <w:r w:rsidR="002C1C57">
        <w:rPr>
          <w:i/>
        </w:rPr>
        <w:t>voir supra</w:t>
      </w:r>
      <w:r>
        <w:rPr>
          <w:i/>
        </w:rPr>
        <w:t xml:space="preserve"> 2.2.2.2.)</w:t>
      </w:r>
      <w:r>
        <w:t xml:space="preserve">. </w:t>
      </w:r>
    </w:p>
    <w:p w14:paraId="4E086EBB" w14:textId="77777777" w:rsidR="001513B1" w:rsidRPr="00430E27" w:rsidRDefault="001513B1" w:rsidP="001513B1"/>
    <w:p w14:paraId="78E8A584" w14:textId="77777777" w:rsidR="0058333C" w:rsidRPr="00904622" w:rsidRDefault="0058333C" w:rsidP="0058333C">
      <w:pPr>
        <w:pStyle w:val="Titre1"/>
      </w:pPr>
      <w:bookmarkStart w:id="23" w:name="_Toc77328926"/>
      <w:r w:rsidRPr="00904622">
        <w:t>Mobilité</w:t>
      </w:r>
      <w:bookmarkEnd w:id="23"/>
      <w:r w:rsidRPr="00904622">
        <w:t> </w:t>
      </w:r>
    </w:p>
    <w:p w14:paraId="0069F6F6" w14:textId="3A494FFF" w:rsidR="00010D76" w:rsidRPr="00904622" w:rsidRDefault="00010D76" w:rsidP="0058333C">
      <w:r w:rsidRPr="00904622">
        <w:t xml:space="preserve">Pour le secteur de l’aide à domicile, la question de la mobilité est critique et des solutions doivent être proposées aux intervenants et à leurs structures employeurs pour développer l’attractivité de ces métiers. </w:t>
      </w:r>
    </w:p>
    <w:p w14:paraId="298EB7DD" w14:textId="6DE70757" w:rsidR="00010D76" w:rsidRPr="00904622" w:rsidRDefault="00010D76" w:rsidP="0058333C">
      <w:r w:rsidRPr="00867321">
        <w:t xml:space="preserve">Le ministère délégué à l’Autonomie </w:t>
      </w:r>
      <w:r w:rsidR="00A12C59" w:rsidRPr="00867321">
        <w:t>a engagé des travaux avec le ministère de la cohésion des territoires</w:t>
      </w:r>
      <w:r w:rsidR="00BC7542">
        <w:t xml:space="preserve">. </w:t>
      </w:r>
      <w:r w:rsidR="005456AD" w:rsidRPr="00904622">
        <w:t xml:space="preserve"> </w:t>
      </w:r>
    </w:p>
    <w:p w14:paraId="1022B7A9" w14:textId="7F48EC74" w:rsidR="0058333C" w:rsidRPr="00904622" w:rsidRDefault="00C0195F" w:rsidP="0058333C">
      <w:r>
        <w:t>A titre d’exemple, d</w:t>
      </w:r>
      <w:r w:rsidR="0058333C" w:rsidRPr="00904622">
        <w:t xml:space="preserve">eux chargés de mission seront recrutés en Nouvelle-Aquitaine et peut-être dans d’autres régions si elles sont volontaires. Employés par une structure qui a réussi à mener une politique remarquable dans ce domaine, ils élaboreront une </w:t>
      </w:r>
      <w:r w:rsidR="0058333C" w:rsidRPr="00D32725">
        <w:rPr>
          <w:i/>
        </w:rPr>
        <w:t>vade-mecum</w:t>
      </w:r>
      <w:r w:rsidR="0058333C" w:rsidRPr="00904622">
        <w:t xml:space="preserve"> et iront à la rencontre de tous les employeurs de l’aide à domicile pour évoquer : </w:t>
      </w:r>
    </w:p>
    <w:p w14:paraId="1EEC87DE" w14:textId="682DEB77" w:rsidR="0058333C" w:rsidRPr="00904622" w:rsidRDefault="0058333C" w:rsidP="0058333C">
      <w:pPr>
        <w:pStyle w:val="Paragraphedeliste"/>
        <w:numPr>
          <w:ilvl w:val="0"/>
          <w:numId w:val="2"/>
        </w:numPr>
        <w:rPr>
          <w:szCs w:val="24"/>
        </w:rPr>
      </w:pPr>
      <w:r w:rsidRPr="00904622">
        <w:rPr>
          <w:szCs w:val="24"/>
        </w:rPr>
        <w:t xml:space="preserve">Les conditions d’achat et d’entretien d’une flotte de véhicules mis à disposition des personnels comme véhicules de service, voire de fonction sur un modèle économique plus favorable que les remboursements kilométriques et donc sans subvention publique ; </w:t>
      </w:r>
    </w:p>
    <w:p w14:paraId="73250F56" w14:textId="6D46DFE4" w:rsidR="0058333C" w:rsidRPr="00904622" w:rsidRDefault="0058333C" w:rsidP="0058333C">
      <w:pPr>
        <w:pStyle w:val="Paragraphedeliste"/>
        <w:numPr>
          <w:ilvl w:val="0"/>
          <w:numId w:val="2"/>
        </w:numPr>
        <w:rPr>
          <w:szCs w:val="24"/>
        </w:rPr>
      </w:pPr>
      <w:r w:rsidRPr="00904622">
        <w:rPr>
          <w:szCs w:val="24"/>
        </w:rPr>
        <w:t>L’aide à l’obtention du permis ;</w:t>
      </w:r>
    </w:p>
    <w:p w14:paraId="6FCA3F37" w14:textId="2D5D4E24" w:rsidR="0058333C" w:rsidRDefault="0058333C" w:rsidP="0058333C">
      <w:pPr>
        <w:pStyle w:val="Paragraphedeliste"/>
        <w:numPr>
          <w:ilvl w:val="0"/>
          <w:numId w:val="2"/>
        </w:numPr>
        <w:rPr>
          <w:szCs w:val="24"/>
        </w:rPr>
      </w:pPr>
      <w:r w:rsidRPr="00904622">
        <w:rPr>
          <w:szCs w:val="24"/>
        </w:rPr>
        <w:t xml:space="preserve">L’acquisition de véhicules sans permis. </w:t>
      </w:r>
    </w:p>
    <w:p w14:paraId="6F8B9087" w14:textId="3ED98D86" w:rsidR="00904622" w:rsidRDefault="00904622" w:rsidP="00904622">
      <w:pPr>
        <w:pStyle w:val="Titre1"/>
      </w:pPr>
      <w:bookmarkStart w:id="24" w:name="_Toc77328927"/>
      <w:r>
        <w:lastRenderedPageBreak/>
        <w:t>Mesures fiscales</w:t>
      </w:r>
      <w:bookmarkEnd w:id="24"/>
    </w:p>
    <w:p w14:paraId="3B1731A2" w14:textId="4FC14A53" w:rsidR="00904622" w:rsidRDefault="000123ED" w:rsidP="000123ED">
      <w:pPr>
        <w:pStyle w:val="Titre2"/>
      </w:pPr>
      <w:bookmarkStart w:id="25" w:name="_Toc77328928"/>
      <w:r>
        <w:t xml:space="preserve">Rescrit modifiant les règles de TVA applicables </w:t>
      </w:r>
      <w:r w:rsidR="0074446D">
        <w:t>aux prestations de services rendues à leurs membres par des groupements d’employeurs</w:t>
      </w:r>
      <w:bookmarkEnd w:id="25"/>
    </w:p>
    <w:p w14:paraId="6E963A99" w14:textId="77777777" w:rsidR="00626D80" w:rsidRDefault="009D5165" w:rsidP="00F351D4">
      <w:r>
        <w:t>Le groupement d’employeurs permet dans le secteur de mettre à disposition des salariés chez ces mêmes employeurs, les mettant en situation de proposer des contrats de travail plus attractifs à ces derniers. Le groupement assure la gestion complète des salariés qu’il met à disposition, il peut aussi apporter des conseils RH à ses adhérents. Il peut enfin faciliter la construction de parcours professionnels et favoriser l’acquisition de compétences nouvelles.</w:t>
      </w:r>
      <w:r w:rsidR="00626D80">
        <w:t xml:space="preserve"> </w:t>
      </w:r>
    </w:p>
    <w:p w14:paraId="65CB56E1" w14:textId="3CE49C3A" w:rsidR="009D5165" w:rsidRDefault="001A4341" w:rsidP="00F351D4">
      <w:r>
        <w:t xml:space="preserve">Si les membres du groupement sont tous exonérés de la TVA et que ces services concourent directement et exclusivement à la réalisation des opérations exonérées ou exclues du champ, alors ses services le sont aussi. En revanche, pour les groupements « mixtes », la </w:t>
      </w:r>
      <w:r w:rsidR="00626D80">
        <w:t xml:space="preserve">fiscalité était dissuasive, puisque les membres non assujettis se voyaient facturer par le groupement la TVA, sans pouvoir la récupérer, dès lors que l’un des membres </w:t>
      </w:r>
      <w:r>
        <w:t xml:space="preserve">présentait plus de 20% de son chiffre d’affaires assujetti. </w:t>
      </w:r>
    </w:p>
    <w:p w14:paraId="0784F0DB" w14:textId="7A15F024" w:rsidR="00116E93" w:rsidRDefault="00CB6FAC" w:rsidP="00116E93">
      <w:r w:rsidRPr="00C0195F">
        <w:rPr>
          <w:b/>
        </w:rPr>
        <w:t>Le rescrit - TVA - Assouplissement des conditions pour le recours aux groupements de moyens dans les secteurs poursuivant une activité exonérée pour des raisons d’intérêt général</w:t>
      </w:r>
      <w:r>
        <w:t xml:space="preserve">, </w:t>
      </w:r>
      <w:r w:rsidR="00CC792D">
        <w:t>permet à ces groupements « mixtes » de maintenir l’exonération dont ils font l’objet, même si certaines de leurs composantes sont assujetties au-delà du seuil de 20% de leur chiffre d’affaire.</w:t>
      </w:r>
      <w:r w:rsidR="00116E93">
        <w:t xml:space="preserve"> L’exonération de la TVA des services rendus par le groupement à ses membres demeure donc </w:t>
      </w:r>
      <w:r w:rsidR="006E20DD">
        <w:t xml:space="preserve">maintenant </w:t>
      </w:r>
      <w:r w:rsidR="00116E93">
        <w:t xml:space="preserve">pour les membres non assujettis ou exonérés, même lorsqu’une des composantes dispose de plus de 20% de ces recettes assujetties. En revanche, les services effectués au profit des membres pour la réalisation d’opérations soumises à la TVA doivent être </w:t>
      </w:r>
      <w:r w:rsidR="001A4341">
        <w:t>assujettis</w:t>
      </w:r>
      <w:r w:rsidR="00116E93">
        <w:t xml:space="preserve"> à la TVA. Il en ira ainsi notamment lorsque le groupement fournit une prestation à un membre ne réalisant que des opérations soumises à la TVA. Un suivi des services acquis par les membres doit être opéré lorsqu’il exerce des activités </w:t>
      </w:r>
      <w:r w:rsidR="006E20DD">
        <w:t xml:space="preserve">imposables et des activités taxées. Enfin, les services rendus à des non membres restent taxables. </w:t>
      </w:r>
    </w:p>
    <w:p w14:paraId="63052F27" w14:textId="40E3F632" w:rsidR="006E20DD" w:rsidRDefault="006E20DD" w:rsidP="00116E93">
      <w:pPr>
        <w:rPr>
          <w:i/>
          <w:color w:val="FF0000"/>
        </w:rPr>
      </w:pPr>
      <w:r>
        <w:rPr>
          <w:i/>
          <w:color w:val="FF0000"/>
        </w:rPr>
        <w:t>Aucune communication n’a été réalisée à ce stade apparemment pour informer les employeurs. Elle pourra au plus tard être réalisée dans le cadre de l</w:t>
      </w:r>
      <w:r w:rsidR="001A2CFB">
        <w:rPr>
          <w:i/>
          <w:color w:val="FF0000"/>
        </w:rPr>
        <w:t>a communication gouvernementale</w:t>
      </w:r>
      <w:r>
        <w:rPr>
          <w:i/>
          <w:color w:val="FF0000"/>
        </w:rPr>
        <w:t xml:space="preserve"> visant à valoriser l’ensemble des mesures prises pour développer l’attractivité des métiers de l’autonomie. </w:t>
      </w:r>
    </w:p>
    <w:p w14:paraId="4A1EC14D" w14:textId="3723D56E" w:rsidR="006E20DD" w:rsidRDefault="00AD57C6" w:rsidP="006E20DD">
      <w:pPr>
        <w:pStyle w:val="Titre2"/>
      </w:pPr>
      <w:bookmarkStart w:id="26" w:name="_Toc77328929"/>
      <w:r>
        <w:t>Vers une modification du barème de la taxe sur les salaires</w:t>
      </w:r>
      <w:bookmarkEnd w:id="26"/>
    </w:p>
    <w:p w14:paraId="74BFBA52" w14:textId="77079528" w:rsidR="00AD57C6" w:rsidRDefault="00AD57C6" w:rsidP="00AD57C6">
      <w:r>
        <w:t>Les employeurs non assujettis à la TVA doivent s’acquitter de cette taxe sur les rémunérations versées à leurs salariés. Le barème fixé en 1968 incite les employeurs à recourir à des contrats de courte durée et à temps partiel, notamment dans les médico-social et la santé</w:t>
      </w:r>
      <w:r w:rsidR="009869BC">
        <w:t xml:space="preserve"> (41,8% des recettes 2018)</w:t>
      </w:r>
      <w:r>
        <w:t>.</w:t>
      </w:r>
      <w:r w:rsidR="009869BC">
        <w:t xml:space="preserve"> Cette taxe présente de plus l’inconvénient d’être circulaire, puisque nombre des employeurs assujettis sont financés tout ou partie par des fonds publics. Il a été envisagé dans le Ségur de la santé de réformer cette taxe, pour contribuer à la revalorisation des salaires dans ce secteur, à commencer par les EHPAD. </w:t>
      </w:r>
    </w:p>
    <w:p w14:paraId="52AD3DBF" w14:textId="43E7F21F" w:rsidR="00CC5547" w:rsidRDefault="00CC5547" w:rsidP="00DC2C3A">
      <w:r>
        <w:t xml:space="preserve">Trois hypothèses ont été formulées pour la faire évoluer. </w:t>
      </w:r>
      <w:r w:rsidR="00D32725">
        <w:rPr>
          <w:i/>
          <w:color w:val="FF0000"/>
        </w:rPr>
        <w:t>Les arbitrages doivent être pris dans le cadre du PLFSS 2021</w:t>
      </w:r>
      <w:r w:rsidRPr="00DC2C3A">
        <w:rPr>
          <w:i/>
          <w:color w:val="FF0000"/>
        </w:rPr>
        <w:t>.</w:t>
      </w:r>
      <w:r w:rsidRPr="00DC2C3A">
        <w:rPr>
          <w:color w:val="FF0000"/>
        </w:rPr>
        <w:t xml:space="preserve"> </w:t>
      </w:r>
      <w:r>
        <w:t xml:space="preserve">En effet, </w:t>
      </w:r>
      <w:r w:rsidR="00DC2C3A">
        <w:t xml:space="preserve">les conséquences financières d’une révision du barème au profit des employeurs du secteur sanitaire et médico-social, pourraient être aggravées du fait que </w:t>
      </w:r>
      <w:r>
        <w:t xml:space="preserve">l’autre important contributeur de la taxe </w:t>
      </w:r>
      <w:r w:rsidR="00DC2C3A">
        <w:t>est</w:t>
      </w:r>
      <w:r>
        <w:t xml:space="preserve"> le secteur financier (28,1% des recettes en 2018)</w:t>
      </w:r>
      <w:r w:rsidR="00DC2C3A">
        <w:t xml:space="preserve">. </w:t>
      </w:r>
    </w:p>
    <w:p w14:paraId="3939331C" w14:textId="472294CB" w:rsidR="00035BB0" w:rsidRDefault="000428D6" w:rsidP="00035BB0">
      <w:pPr>
        <w:pStyle w:val="Titre2"/>
      </w:pPr>
      <w:bookmarkStart w:id="27" w:name="_Toc77328930"/>
      <w:r>
        <w:t>Taxe d’apprentissage due par certains établissements publics de santé</w:t>
      </w:r>
      <w:bookmarkEnd w:id="27"/>
    </w:p>
    <w:p w14:paraId="1C0CC665" w14:textId="77777777" w:rsidR="000428D6" w:rsidRPr="00F9389F" w:rsidRDefault="000428D6" w:rsidP="000428D6">
      <w:r w:rsidRPr="00F9389F">
        <w:t xml:space="preserve">Certains Etablissements Publics de Santé (EPS) et établissements sociaux et médico-sociaux et leurs groupements sont assujettis à la Taxe d’apprentissage, sur les activités lucratives sur lesquelles ils ont fait le choix de récupérer la TVA. Une trentaine d’établissements s’acquittent ainsi de la taxe d’apprentissage pour un montant global estimé de 0,807 M€ pour 2020 e 2021. </w:t>
      </w:r>
    </w:p>
    <w:p w14:paraId="3123CE22" w14:textId="3AD48AD6" w:rsidR="000428D6" w:rsidRPr="00F9389F" w:rsidRDefault="000428D6" w:rsidP="000428D6">
      <w:r w:rsidRPr="00F9389F">
        <w:t>Avec la loi n° 2018-771 du 5 septembre 2018 pour la liberté de choisir son avenir professionnel, ces établissements publics de santé ne peuvent plus s’acquitter de ce versement</w:t>
      </w:r>
      <w:r w:rsidR="00F9389F" w:rsidRPr="00F9389F">
        <w:t>,</w:t>
      </w:r>
      <w:r w:rsidRPr="00F9389F">
        <w:t xml:space="preserve"> puisqu’ils ne relèvent </w:t>
      </w:r>
      <w:r w:rsidRPr="00F9389F">
        <w:lastRenderedPageBreak/>
        <w:t>pas d’un OP</w:t>
      </w:r>
      <w:r w:rsidR="00F9389F" w:rsidRPr="00F9389F">
        <w:t>CO, et que l’ANFH, habilitée à per</w:t>
      </w:r>
      <w:r w:rsidRPr="00F9389F">
        <w:t xml:space="preserve">cevoir leurs cotisations pour la formation professionnelle continue, ne l’est pas, jusqu’à présent, pour la taxe d’apprentissage. </w:t>
      </w:r>
    </w:p>
    <w:p w14:paraId="45A7C618" w14:textId="77777777" w:rsidR="000428D6" w:rsidRPr="00F9389F" w:rsidRDefault="000428D6" w:rsidP="000428D6">
      <w:r w:rsidRPr="00F9389F">
        <w:t xml:space="preserve">Ainsi, la taxe d’apprentissage dont ils sont redevables, a été versée en 2020 et 2021, soit à l’OPCO santé du secteur privé, soit à l’ANFH, </w:t>
      </w:r>
      <w:r w:rsidRPr="00F9389F">
        <w:rPr>
          <w:b/>
          <w:bCs/>
        </w:rPr>
        <w:t>alors qu’aucune base législative et réglementaire ne permet ce flux financier et fiscal.</w:t>
      </w:r>
    </w:p>
    <w:p w14:paraId="0911D8F8" w14:textId="531EF9FB" w:rsidR="000428D6" w:rsidRPr="00F9389F" w:rsidRDefault="000428D6" w:rsidP="000428D6">
      <w:r w:rsidRPr="00F9389F">
        <w:t xml:space="preserve">La DGOS tente en vain depuis juillet 2020 </w:t>
      </w:r>
      <w:r w:rsidR="001A2CFB">
        <w:t>de</w:t>
      </w:r>
      <w:r w:rsidRPr="00F9389F">
        <w:t xml:space="preserve"> trouver une solution pour donner une base légale au versement de ces fonds d’une part et propose</w:t>
      </w:r>
      <w:r w:rsidR="001A2CFB">
        <w:t xml:space="preserve"> d’autre part</w:t>
      </w:r>
      <w:r w:rsidRPr="00F9389F">
        <w:t xml:space="preserve"> deux scenarii pour</w:t>
      </w:r>
      <w:r w:rsidR="00F9389F" w:rsidRPr="00F9389F">
        <w:t xml:space="preserve"> l’avenir </w:t>
      </w:r>
      <w:r w:rsidRPr="00F9389F">
        <w:t xml:space="preserve">: </w:t>
      </w:r>
    </w:p>
    <w:p w14:paraId="636183F5" w14:textId="0FF92892" w:rsidR="000428D6" w:rsidRPr="00F9389F" w:rsidRDefault="000428D6" w:rsidP="000428D6">
      <w:pPr>
        <w:pStyle w:val="Paragraphedeliste"/>
        <w:numPr>
          <w:ilvl w:val="0"/>
          <w:numId w:val="2"/>
        </w:numPr>
      </w:pPr>
      <w:r w:rsidRPr="00F9389F">
        <w:t xml:space="preserve">Soit éteindre ce versement de la TA pour </w:t>
      </w:r>
      <w:r w:rsidR="00F9389F" w:rsidRPr="00F9389F">
        <w:t>cette petite</w:t>
      </w:r>
      <w:r w:rsidRPr="00F9389F">
        <w:t xml:space="preserve"> partie de leurs activités qui est fiscalisée ;</w:t>
      </w:r>
    </w:p>
    <w:p w14:paraId="3CFCCB33" w14:textId="72F2A94D" w:rsidR="000428D6" w:rsidRPr="00F9389F" w:rsidRDefault="000428D6" w:rsidP="00A369B8">
      <w:pPr>
        <w:pStyle w:val="Paragraphedeliste"/>
        <w:numPr>
          <w:ilvl w:val="0"/>
          <w:numId w:val="2"/>
        </w:numPr>
      </w:pPr>
      <w:r w:rsidRPr="00F9389F">
        <w:t xml:space="preserve">Soit le </w:t>
      </w:r>
      <w:r w:rsidR="00F9389F" w:rsidRPr="00F9389F">
        <w:t>maintenir</w:t>
      </w:r>
      <w:r w:rsidRPr="00F9389F">
        <w:t xml:space="preserve"> et habiliter l’ANFH à percevoir</w:t>
      </w:r>
      <w:r w:rsidR="00F9389F" w:rsidRPr="00F9389F">
        <w:t xml:space="preserve"> la TA, en plus des cotisations formation.</w:t>
      </w:r>
    </w:p>
    <w:p w14:paraId="36E4A6E1" w14:textId="77295D7E" w:rsidR="000428D6" w:rsidRPr="00F9389F" w:rsidRDefault="00D32725" w:rsidP="00F9389F">
      <w:pPr>
        <w:rPr>
          <w:i/>
          <w:color w:val="FF0000"/>
        </w:rPr>
      </w:pPr>
      <w:r>
        <w:rPr>
          <w:i/>
          <w:color w:val="FF0000"/>
        </w:rPr>
        <w:t>La mesure doit être proposée dans le cadre du PLFSS 2021</w:t>
      </w:r>
      <w:r w:rsidR="00F9389F">
        <w:rPr>
          <w:i/>
          <w:color w:val="FF0000"/>
        </w:rPr>
        <w:t xml:space="preserve">. </w:t>
      </w:r>
    </w:p>
    <w:p w14:paraId="5B733664" w14:textId="77777777" w:rsidR="00035BB0" w:rsidRPr="00035BB0" w:rsidRDefault="00035BB0" w:rsidP="00035BB0"/>
    <w:p w14:paraId="536B58AB" w14:textId="385114E2" w:rsidR="00972F76" w:rsidRDefault="00972F76" w:rsidP="00C45A2E">
      <w:pPr>
        <w:pStyle w:val="Titre1"/>
      </w:pPr>
      <w:bookmarkStart w:id="28" w:name="_Toc77328931"/>
      <w:r>
        <w:t xml:space="preserve">Sécuriser le déploiement des mesures et le </w:t>
      </w:r>
      <w:r w:rsidRPr="000844CE">
        <w:t xml:space="preserve">monitoring </w:t>
      </w:r>
      <w:r>
        <w:t>des actions engagées</w:t>
      </w:r>
      <w:bookmarkEnd w:id="28"/>
    </w:p>
    <w:p w14:paraId="219E47AF" w14:textId="701E014B" w:rsidR="00065376" w:rsidRPr="000844CE" w:rsidRDefault="00972F76" w:rsidP="00972F76">
      <w:r>
        <w:t>L</w:t>
      </w:r>
      <w:r w:rsidR="00065376" w:rsidRPr="00972F76">
        <w:t xml:space="preserve">’objectif </w:t>
      </w:r>
      <w:r>
        <w:t>de la mission attractivité des métiers de l’</w:t>
      </w:r>
      <w:r w:rsidR="00FD57AE">
        <w:t>autonomie était</w:t>
      </w:r>
      <w:r w:rsidR="00065376" w:rsidRPr="00972F76">
        <w:t xml:space="preserve"> d’identifier les sujets justifiant une accélération pour arbitrage, et les changements structurels à réaliser pour créer les conditions pour attirer et former plus de professionnels sur ces métiers en tension (en particulier les AS et AES).</w:t>
      </w:r>
    </w:p>
    <w:p w14:paraId="5030CC0E" w14:textId="54657D94" w:rsidR="00065376" w:rsidRPr="000844CE" w:rsidRDefault="00BC7542" w:rsidP="00065376">
      <w:r>
        <w:t>Une partie des sujets a été traitée</w:t>
      </w:r>
      <w:r w:rsidR="00065376" w:rsidRPr="000844CE">
        <w:t xml:space="preserve"> par des groupes de travail </w:t>
      </w:r>
      <w:r w:rsidR="003C3640">
        <w:t xml:space="preserve">pilotés par la mission, </w:t>
      </w:r>
      <w:r w:rsidR="00065376" w:rsidRPr="000844CE">
        <w:t>mobilisant essentiellement les administrations centrales,</w:t>
      </w:r>
      <w:r>
        <w:t xml:space="preserve"> opérateurs et</w:t>
      </w:r>
      <w:r w:rsidR="00065376" w:rsidRPr="000844CE">
        <w:t xml:space="preserve"> les cabinets, associant parfois d’autres acteurs. Les multiples </w:t>
      </w:r>
      <w:proofErr w:type="spellStart"/>
      <w:r w:rsidR="00065376" w:rsidRPr="000844CE">
        <w:t>visios</w:t>
      </w:r>
      <w:proofErr w:type="spellEnd"/>
      <w:r w:rsidR="00065376" w:rsidRPr="000844CE">
        <w:t xml:space="preserve"> avec les fédérations employeurs, organisations syndicales et instances paritaires, ainsi que les quelques rencontres singulières avec des structures (publiques, associatives ou lucratives) ont servi d’aiguillon et de tests pour éprouver les hypothèses. </w:t>
      </w:r>
    </w:p>
    <w:p w14:paraId="348C4718" w14:textId="2B9C4209" w:rsidR="00FD57AE" w:rsidRDefault="00065376" w:rsidP="00065376">
      <w:r w:rsidRPr="001A2CFB">
        <w:rPr>
          <w:b/>
          <w:i/>
          <w:color w:val="FF0000"/>
        </w:rPr>
        <w:t xml:space="preserve">Au-delà de la </w:t>
      </w:r>
      <w:r w:rsidR="00BC7542" w:rsidRPr="001A2CFB">
        <w:rPr>
          <w:b/>
          <w:i/>
          <w:color w:val="FF0000"/>
        </w:rPr>
        <w:t>poursuite</w:t>
      </w:r>
      <w:r w:rsidRPr="001A2CFB">
        <w:rPr>
          <w:b/>
          <w:i/>
          <w:color w:val="FF0000"/>
        </w:rPr>
        <w:t xml:space="preserve"> de ces travaux, il convient </w:t>
      </w:r>
      <w:r w:rsidR="00BC7542" w:rsidRPr="001A2CFB">
        <w:rPr>
          <w:b/>
          <w:i/>
          <w:color w:val="FF0000"/>
        </w:rPr>
        <w:t xml:space="preserve">de prévoir le déploiement et le </w:t>
      </w:r>
      <w:r w:rsidRPr="001A2CFB">
        <w:rPr>
          <w:b/>
          <w:i/>
          <w:color w:val="FF0000"/>
        </w:rPr>
        <w:t>monitoring opéra</w:t>
      </w:r>
      <w:r w:rsidR="005036FC" w:rsidRPr="001A2CFB">
        <w:rPr>
          <w:b/>
          <w:i/>
          <w:color w:val="FF0000"/>
        </w:rPr>
        <w:t>tionnel de la mise en œuvre d</w:t>
      </w:r>
      <w:r w:rsidRPr="001A2CFB">
        <w:rPr>
          <w:b/>
          <w:i/>
          <w:color w:val="FF0000"/>
        </w:rPr>
        <w:t xml:space="preserve">es dispositions </w:t>
      </w:r>
      <w:r w:rsidR="005036FC" w:rsidRPr="001A2CFB">
        <w:rPr>
          <w:b/>
          <w:i/>
          <w:color w:val="FF0000"/>
        </w:rPr>
        <w:t xml:space="preserve">prises </w:t>
      </w:r>
      <w:r w:rsidR="003C3640" w:rsidRPr="001A2CFB">
        <w:rPr>
          <w:b/>
          <w:i/>
          <w:color w:val="FF0000"/>
        </w:rPr>
        <w:t xml:space="preserve">(et restant à prendre) </w:t>
      </w:r>
      <w:r w:rsidR="005036FC" w:rsidRPr="001A2CFB">
        <w:rPr>
          <w:b/>
          <w:i/>
          <w:color w:val="FF0000"/>
        </w:rPr>
        <w:t>pour développer l’attractivité des métiers de l’autonomie</w:t>
      </w:r>
      <w:r w:rsidRPr="001A2CFB">
        <w:rPr>
          <w:b/>
          <w:i/>
          <w:color w:val="FF0000"/>
        </w:rPr>
        <w:t>.</w:t>
      </w:r>
      <w:r w:rsidRPr="001A2CFB">
        <w:rPr>
          <w:b/>
          <w:color w:val="FF0000"/>
        </w:rPr>
        <w:t xml:space="preserve"> </w:t>
      </w:r>
      <w:r w:rsidRPr="000844CE">
        <w:t xml:space="preserve">Il faut se donner les moyens de suivre les créations de places, en apprentissage comme en formation « classique ». De s’assurer que les instituts disposent des ressources nécessaires pour le faire. De vérifier que les employeurs soient bien informés des nouvelles opportunités de recruter / former et soient accompagnés pour les mobiliser. De continuer avec les membres du service public de l’emploi à orienter les personnes en recherche d’emploi vers ces métiers. </w:t>
      </w:r>
      <w:r w:rsidR="005036FC">
        <w:t xml:space="preserve">Tout comme il sera nécessaire de concevoir et piloter le déploiement des mesures à construire pour apporter un soutien massif aux managers de ce secteur ; pour accompagner et déployer les mesures que les acteurs de la QVT/Sinistralité choisiront de prioriser au plan national, comme dans les territoires. </w:t>
      </w:r>
      <w:r w:rsidR="003C3640">
        <w:t>Il s’agira aussi de s’assurer que la gouvernance territoriale des sujets QVT/sinistralité se met bien en place, ciblant des objectifs concrets</w:t>
      </w:r>
      <w:r w:rsidR="001A2CFB">
        <w:t>,</w:t>
      </w:r>
      <w:r w:rsidR="003C3640">
        <w:t xml:space="preserve"> plutôt que des instances ou conventions qui peuvent consommer beaucoup de temps avant d’être opérationnalisées. </w:t>
      </w:r>
    </w:p>
    <w:p w14:paraId="69E4B4AF" w14:textId="6FAD52D4" w:rsidR="000844CE" w:rsidRPr="00E8632E" w:rsidRDefault="000844CE" w:rsidP="000844CE">
      <w:pPr>
        <w:pStyle w:val="Titre1"/>
      </w:pPr>
      <w:bookmarkStart w:id="29" w:name="_Toc77328932"/>
      <w:r w:rsidRPr="00E8632E">
        <w:t>Communication gouvernementale</w:t>
      </w:r>
      <w:r w:rsidR="00972F76">
        <w:t xml:space="preserve"> et modalités de poursuite de l’action pour l’attractivité des métiers de l’autonomie</w:t>
      </w:r>
      <w:bookmarkEnd w:id="29"/>
    </w:p>
    <w:p w14:paraId="05F49610" w14:textId="6A15E21A" w:rsidR="000844CE" w:rsidRDefault="000844CE" w:rsidP="000844CE">
      <w:r>
        <w:t xml:space="preserve">La ministre déléguée à l’Autonomie a annoncé le lancement d’une campagne de communication nationale pour valoriser les métiers de l’autonomie. </w:t>
      </w:r>
    </w:p>
    <w:p w14:paraId="132D9A4A" w14:textId="2F80099E" w:rsidR="000844CE" w:rsidRPr="003C3640" w:rsidRDefault="000844CE" w:rsidP="000844CE">
      <w:r w:rsidRPr="003C3640">
        <w:t xml:space="preserve">Une communication politique pourrait être envisagée pour valoriser l’ensemble des mesures prises par le gouvernement pour développer l’attractivité des métiers de l’autonomie </w:t>
      </w:r>
      <w:r w:rsidR="003C3640" w:rsidRPr="003C3640">
        <w:t>en septembre</w:t>
      </w:r>
      <w:r w:rsidRPr="003C3640">
        <w:t xml:space="preserve">. Il conviendra d’y intégrer aussi les mesures salariales ayant fait l’objet de récents accords et négociées par la mission Laforcade, comme l’agrément de l’avenant 43 de la branche de l’aide à domicile – faisant l’hypothèse qu’il sera intervenu d’ici là. </w:t>
      </w:r>
    </w:p>
    <w:p w14:paraId="5784BE61" w14:textId="77777777" w:rsidR="000844CE" w:rsidRPr="003C3640" w:rsidRDefault="000844CE" w:rsidP="000844CE">
      <w:r w:rsidRPr="003C3640">
        <w:t xml:space="preserve">Ce sera aussi l’occasion d’annoncer les modalités de poursuite de l’action gouvernementale dans le champ notamment : </w:t>
      </w:r>
    </w:p>
    <w:p w14:paraId="1A88839B" w14:textId="77777777" w:rsidR="000844CE" w:rsidRPr="003C3640" w:rsidRDefault="000844CE" w:rsidP="000844CE">
      <w:pPr>
        <w:pStyle w:val="Paragraphedeliste"/>
        <w:numPr>
          <w:ilvl w:val="0"/>
          <w:numId w:val="2"/>
        </w:numPr>
      </w:pPr>
      <w:r w:rsidRPr="003C3640">
        <w:lastRenderedPageBreak/>
        <w:t>Les modalités de pilotage et de suivi des mesures pour s’assurer de leur bon déploiement et de leur impact ;</w:t>
      </w:r>
    </w:p>
    <w:p w14:paraId="022D8829" w14:textId="0FF8A086" w:rsidR="000844CE" w:rsidRPr="003C3640" w:rsidRDefault="000844CE" w:rsidP="000844CE">
      <w:pPr>
        <w:pStyle w:val="Paragraphedeliste"/>
        <w:numPr>
          <w:ilvl w:val="0"/>
          <w:numId w:val="2"/>
        </w:numPr>
      </w:pPr>
      <w:r w:rsidRPr="003C3640">
        <w:t xml:space="preserve">La nécessité d’ancrer dans la durée l’action portée par la mission de coordination nationale des métiers de l’autonomie, pour sécuriser la portée des mesures adoptées, l’une de ses principales forces ayant été son </w:t>
      </w:r>
      <w:r w:rsidR="00F1371D" w:rsidRPr="003C3640">
        <w:t>inter ministérialité</w:t>
      </w:r>
      <w:r w:rsidRPr="003C3640">
        <w:t xml:space="preserve">. </w:t>
      </w:r>
    </w:p>
    <w:p w14:paraId="5B57EEA2" w14:textId="77777777" w:rsidR="000844CE" w:rsidRPr="003C3640" w:rsidRDefault="000844CE" w:rsidP="000844CE"/>
    <w:p w14:paraId="0567C3AB" w14:textId="080ED361" w:rsidR="00875BF1" w:rsidRPr="003C3640" w:rsidRDefault="00875BF1" w:rsidP="00875BF1"/>
    <w:sectPr w:rsidR="00875BF1" w:rsidRPr="003C364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2278" w14:textId="77777777" w:rsidR="00895E1A" w:rsidRDefault="00895E1A" w:rsidP="00845D49">
      <w:pPr>
        <w:spacing w:after="0"/>
      </w:pPr>
      <w:r>
        <w:separator/>
      </w:r>
    </w:p>
  </w:endnote>
  <w:endnote w:type="continuationSeparator" w:id="0">
    <w:p w14:paraId="4ABF9FFF" w14:textId="77777777" w:rsidR="00895E1A" w:rsidRDefault="00895E1A" w:rsidP="00845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43761"/>
      <w:docPartObj>
        <w:docPartGallery w:val="Page Numbers (Bottom of Page)"/>
        <w:docPartUnique/>
      </w:docPartObj>
    </w:sdtPr>
    <w:sdtEndPr/>
    <w:sdtContent>
      <w:sdt>
        <w:sdtPr>
          <w:id w:val="-1769616900"/>
          <w:docPartObj>
            <w:docPartGallery w:val="Page Numbers (Top of Page)"/>
            <w:docPartUnique/>
          </w:docPartObj>
        </w:sdtPr>
        <w:sdtEndPr/>
        <w:sdtContent>
          <w:p w14:paraId="5CD2B136" w14:textId="3929C131" w:rsidR="00871E30" w:rsidRDefault="00871E3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994880">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94880">
              <w:rPr>
                <w:b/>
                <w:bCs/>
                <w:noProof/>
              </w:rPr>
              <w:t>22</w:t>
            </w:r>
            <w:r>
              <w:rPr>
                <w:b/>
                <w:bCs/>
                <w:sz w:val="24"/>
                <w:szCs w:val="24"/>
              </w:rPr>
              <w:fldChar w:fldCharType="end"/>
            </w:r>
          </w:p>
        </w:sdtContent>
      </w:sdt>
    </w:sdtContent>
  </w:sdt>
  <w:p w14:paraId="19E54893" w14:textId="77777777" w:rsidR="00871E30" w:rsidRDefault="00871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9F1A" w14:textId="77777777" w:rsidR="00895E1A" w:rsidRDefault="00895E1A" w:rsidP="00845D49">
      <w:pPr>
        <w:spacing w:after="0"/>
      </w:pPr>
      <w:r>
        <w:separator/>
      </w:r>
    </w:p>
  </w:footnote>
  <w:footnote w:type="continuationSeparator" w:id="0">
    <w:p w14:paraId="3388D9FE" w14:textId="77777777" w:rsidR="00895E1A" w:rsidRDefault="00895E1A" w:rsidP="00845D49">
      <w:pPr>
        <w:spacing w:after="0"/>
      </w:pPr>
      <w:r>
        <w:continuationSeparator/>
      </w:r>
    </w:p>
  </w:footnote>
  <w:footnote w:id="1">
    <w:p w14:paraId="24202743" w14:textId="77777777" w:rsidR="00871E30" w:rsidRDefault="00871E30">
      <w:pPr>
        <w:pStyle w:val="Notedebasdepage"/>
      </w:pPr>
      <w:r>
        <w:rPr>
          <w:rStyle w:val="Appelnotedebasdep"/>
        </w:rPr>
        <w:footnoteRef/>
      </w:r>
      <w:r>
        <w:t xml:space="preserve"> Plan de mobilisation nationale en faveur de l’attractivité des métiers du grand âge - Rapport Myriam El </w:t>
      </w:r>
      <w:proofErr w:type="spellStart"/>
      <w:r>
        <w:t>Khomri</w:t>
      </w:r>
      <w:proofErr w:type="spellEnd"/>
      <w:r>
        <w:t xml:space="preserve"> – octobre 2019</w:t>
      </w:r>
    </w:p>
  </w:footnote>
  <w:footnote w:id="2">
    <w:p w14:paraId="008EF21C" w14:textId="77777777" w:rsidR="00871E30" w:rsidRDefault="00871E30">
      <w:pPr>
        <w:pStyle w:val="Notedebasdepage"/>
      </w:pPr>
      <w:r>
        <w:rPr>
          <w:rStyle w:val="Appelnotedebasdep"/>
        </w:rPr>
        <w:footnoteRef/>
      </w:r>
      <w:r>
        <w:t xml:space="preserve"> Arrêté du </w:t>
      </w:r>
      <w:r w:rsidRPr="009F5780">
        <w:t>12 avril 2021 portant diverses modifications relatives aux conditions d’accès aux formations conduisant aux diplômes d’Etat d’aide-soignant et d’auxiliaire de puériculture</w:t>
      </w:r>
      <w:r>
        <w:t xml:space="preserve">, article 9 nouveau. </w:t>
      </w:r>
    </w:p>
  </w:footnote>
  <w:footnote w:id="3">
    <w:p w14:paraId="2E7C9F54" w14:textId="77777777" w:rsidR="00871E30" w:rsidRDefault="00871E30" w:rsidP="00034498">
      <w:pPr>
        <w:pStyle w:val="Notedebasdepage"/>
      </w:pPr>
      <w:r>
        <w:rPr>
          <w:rStyle w:val="Appelnotedebasdep"/>
        </w:rPr>
        <w:footnoteRef/>
      </w:r>
      <w:r>
        <w:t xml:space="preserve"> Fédération des hôpitaux de France. </w:t>
      </w:r>
    </w:p>
  </w:footnote>
  <w:footnote w:id="4">
    <w:p w14:paraId="45189285" w14:textId="6ED928B7" w:rsidR="00871E30" w:rsidRDefault="00871E30">
      <w:pPr>
        <w:pStyle w:val="Notedebasdepage"/>
      </w:pPr>
      <w:r>
        <w:rPr>
          <w:rStyle w:val="Appelnotedebasdep"/>
        </w:rPr>
        <w:footnoteRef/>
      </w:r>
      <w:r>
        <w:t xml:space="preserve"> Branche de l’action sanitaire et sociale. </w:t>
      </w:r>
    </w:p>
  </w:footnote>
  <w:footnote w:id="5">
    <w:p w14:paraId="2B73A972" w14:textId="62429368" w:rsidR="00871E30" w:rsidRDefault="00871E30">
      <w:pPr>
        <w:pStyle w:val="Notedebasdepage"/>
      </w:pPr>
      <w:r>
        <w:rPr>
          <w:rStyle w:val="Appelnotedebasdep"/>
        </w:rPr>
        <w:footnoteRef/>
      </w:r>
      <w:r>
        <w:t xml:space="preserve"> Hospitalisation privée. </w:t>
      </w:r>
    </w:p>
  </w:footnote>
  <w:footnote w:id="6">
    <w:p w14:paraId="09618D56" w14:textId="3426D421" w:rsidR="00871E30" w:rsidRDefault="00871E30">
      <w:pPr>
        <w:pStyle w:val="Notedebasdepage"/>
      </w:pPr>
      <w:r>
        <w:rPr>
          <w:rStyle w:val="Appelnotedebasdep"/>
        </w:rPr>
        <w:footnoteRef/>
      </w:r>
      <w:r>
        <w:t xml:space="preserve"> </w:t>
      </w:r>
      <w:r w:rsidRPr="00034498">
        <w:t>Fédération nationale</w:t>
      </w:r>
      <w:r>
        <w:t xml:space="preserve"> avenir et qualité de vie des Personnes âgées. </w:t>
      </w:r>
    </w:p>
  </w:footnote>
  <w:footnote w:id="7">
    <w:p w14:paraId="09F79C0B" w14:textId="0A9E21E4" w:rsidR="00871E30" w:rsidRDefault="00871E30">
      <w:pPr>
        <w:pStyle w:val="Notedebasdepage"/>
      </w:pPr>
      <w:r>
        <w:rPr>
          <w:rStyle w:val="Appelnotedebasdep"/>
        </w:rPr>
        <w:footnoteRef/>
      </w:r>
      <w:r>
        <w:t xml:space="preserve"> Bleu du 23 mars 2021, à l’issue de la réunion du 18 mars à 12h. </w:t>
      </w:r>
    </w:p>
  </w:footnote>
  <w:footnote w:id="8">
    <w:p w14:paraId="0CA704B7" w14:textId="77777777" w:rsidR="00871E30" w:rsidRDefault="00871E30" w:rsidP="00C70945">
      <w:pPr>
        <w:pStyle w:val="Notedebasdepage"/>
      </w:pPr>
      <w:r>
        <w:rPr>
          <w:rStyle w:val="Appelnotedebasdep"/>
        </w:rPr>
        <w:footnoteRef/>
      </w:r>
      <w:r>
        <w:t xml:space="preserve"> Ibid. p.72</w:t>
      </w:r>
    </w:p>
  </w:footnote>
  <w:footnote w:id="9">
    <w:p w14:paraId="06EADB91" w14:textId="77777777" w:rsidR="00871E30" w:rsidRDefault="00871E30">
      <w:pPr>
        <w:pStyle w:val="Notedebasdepage"/>
      </w:pPr>
      <w:r>
        <w:rPr>
          <w:rStyle w:val="Appelnotedebasdep"/>
        </w:rPr>
        <w:footnoteRef/>
      </w:r>
      <w:r>
        <w:t xml:space="preserve"> Arrêté du </w:t>
      </w:r>
      <w:r w:rsidRPr="009F5780">
        <w:t>12 avril 2021 portant diverses modifications relatives aux conditions d’accès aux formations conduisant aux diplômes d’Etat d’aide-soignant et d’auxiliaire de puériculture</w:t>
      </w:r>
      <w:r>
        <w:t xml:space="preserve">, article 9 nouveau. </w:t>
      </w:r>
    </w:p>
  </w:footnote>
  <w:footnote w:id="10">
    <w:p w14:paraId="7AF5F069" w14:textId="77777777" w:rsidR="00871E30" w:rsidRDefault="00871E30">
      <w:pPr>
        <w:pStyle w:val="Notedebasdepage"/>
      </w:pPr>
      <w:r>
        <w:rPr>
          <w:rStyle w:val="Appelnotedebasdep"/>
        </w:rPr>
        <w:footnoteRef/>
      </w:r>
      <w:r>
        <w:t xml:space="preserve"> Instituts de formation des aides-soignants. </w:t>
      </w:r>
    </w:p>
  </w:footnote>
  <w:footnote w:id="11">
    <w:p w14:paraId="4814F454" w14:textId="77777777" w:rsidR="00871E30" w:rsidRDefault="00871E30" w:rsidP="0034715D">
      <w:pPr>
        <w:pStyle w:val="Notedebasdepage"/>
      </w:pPr>
      <w:r>
        <w:rPr>
          <w:rStyle w:val="Appelnotedebasdep"/>
        </w:rPr>
        <w:footnoteRef/>
      </w:r>
      <w:r w:rsidRPr="00E65537">
        <w:t>Arrêté du 30 décembre 2020 relatif à l'adaptation des modalités d'admission, aux aménagements de formation et à la procédure de délivrance de diplômes ou titres de certaines formations en santé dans le cadre de la lutte contre la propagation de la covid-19</w:t>
      </w:r>
    </w:p>
  </w:footnote>
  <w:footnote w:id="12">
    <w:p w14:paraId="175C9E10" w14:textId="7158E3E8" w:rsidR="00871E30" w:rsidRDefault="00871E30" w:rsidP="00B34DDF">
      <w:pPr>
        <w:pStyle w:val="Notedebasdepage"/>
      </w:pPr>
      <w:r>
        <w:rPr>
          <w:rStyle w:val="Appelnotedebasdep"/>
        </w:rPr>
        <w:footnoteRef/>
      </w:r>
      <w:r>
        <w:t xml:space="preserve"> Volet compétences du plan de mobilisation nationale pour les métiers du grand âge - Cartographie des certifications professionnelles et identification des premières équivalences – France Compétences – Juillet 2020.</w:t>
      </w:r>
    </w:p>
  </w:footnote>
  <w:footnote w:id="13">
    <w:p w14:paraId="78CC37FF" w14:textId="25214ECA" w:rsidR="00871E30" w:rsidRDefault="00871E30">
      <w:pPr>
        <w:pStyle w:val="Notedebasdepage"/>
      </w:pPr>
      <w:r>
        <w:rPr>
          <w:rStyle w:val="Appelnotedebasdep"/>
        </w:rPr>
        <w:footnoteRef/>
      </w:r>
      <w:r>
        <w:t xml:space="preserve"> L’instruction DGCS/4B/2018/177 relative à la mise en œuvre de d’une stratégie de promotion de la qualité de vie au travail dans les établissements médico-sociaux (EHPAD et établissements accueillant des personnes handicapées) structure son déploiement. </w:t>
      </w:r>
    </w:p>
  </w:footnote>
  <w:footnote w:id="14">
    <w:p w14:paraId="5ABE4492" w14:textId="77777777" w:rsidR="00871E30" w:rsidRDefault="00871E30" w:rsidP="00CD429A">
      <w:pPr>
        <w:pStyle w:val="Notedebasdepage"/>
      </w:pPr>
      <w:r>
        <w:rPr>
          <w:rStyle w:val="Appelnotedebasdep"/>
        </w:rPr>
        <w:footnoteRef/>
      </w:r>
      <w:r>
        <w:t xml:space="preserve"> BASS : branche de l’action sanitaire et sociale. HP : branche de l’hospitalisation privée. ESAP : branche des entreprises de service à la personne. BAD : branche de l’aide à domicile. </w:t>
      </w:r>
    </w:p>
  </w:footnote>
  <w:footnote w:id="15">
    <w:p w14:paraId="46A833F6" w14:textId="142BCDEB" w:rsidR="00871E30" w:rsidRDefault="00871E30" w:rsidP="00170911">
      <w:pPr>
        <w:pStyle w:val="Notedebasdepage"/>
      </w:pPr>
      <w:r>
        <w:rPr>
          <w:rStyle w:val="Appelnotedebasdep"/>
        </w:rPr>
        <w:footnoteRef/>
      </w:r>
      <w:r>
        <w:t xml:space="preserve"> Arrêté du 10 avril 2019. </w:t>
      </w:r>
    </w:p>
  </w:footnote>
  <w:footnote w:id="16">
    <w:p w14:paraId="42E85442" w14:textId="77777777" w:rsidR="00871E30" w:rsidRDefault="00871E30" w:rsidP="001F0C7A">
      <w:pPr>
        <w:pStyle w:val="Notedebasdepage"/>
      </w:pPr>
      <w:r>
        <w:rPr>
          <w:rStyle w:val="Appelnotedebasdep"/>
        </w:rPr>
        <w:footnoteRef/>
      </w:r>
      <w:r>
        <w:t xml:space="preserve"> Le volet RH du tableau de bord comporte cinq indicateurs de dialogue (t</w:t>
      </w:r>
      <w:r w:rsidRPr="005A6D78">
        <w:t>aux d’ETP vacants</w:t>
      </w:r>
      <w:r>
        <w:t> ; taux de prestations externes ; t</w:t>
      </w:r>
      <w:r w:rsidRPr="005A6D78">
        <w:t>aux de personnels occupant une fonction de gestion d’équipe ou de management</w:t>
      </w:r>
      <w:r>
        <w:t xml:space="preserve"> ; taux d’absentéisme ; taux de rotation des personnels sur effectifs réels) et quatre indicateurs clés d’analyse et de pilotage interne (taux d’absentéisme par motif ; répartition des effectifs par fonction ; pyramide des âges du personnel). Le taux d’absentéisme et le taux de rotation apparaissent particulièrement pertinents, de même que le taux de vacance mais ce dernier indicateur nécessite d’être fiabilisé.  </w:t>
      </w:r>
    </w:p>
  </w:footnote>
  <w:footnote w:id="17">
    <w:p w14:paraId="376EDB5D" w14:textId="77777777" w:rsidR="00871E30" w:rsidRDefault="00871E30" w:rsidP="00965057">
      <w:pPr>
        <w:pStyle w:val="Notedebasdepage"/>
      </w:pPr>
      <w:r>
        <w:rPr>
          <w:rStyle w:val="Appelnotedebasdep"/>
        </w:rPr>
        <w:footnoteRef/>
      </w:r>
      <w:r>
        <w:t xml:space="preserve"> La branche AT-MP ne s’appuie pas sur les indices de fréquence accidents du travail pour cibler les structures éligibles à des aides à la prévention de la sinistralité, dans la mesure où ces indicateurs ne sont pas pertinents au niveau micro (ils le sont en revanche au niveau d’un secteur d’activité).    </w:t>
      </w:r>
    </w:p>
  </w:footnote>
  <w:footnote w:id="18">
    <w:p w14:paraId="66178338" w14:textId="77777777" w:rsidR="00871E30" w:rsidRDefault="00871E30" w:rsidP="00B34BFE">
      <w:pPr>
        <w:pStyle w:val="Notedebasdepage"/>
      </w:pPr>
      <w:r>
        <w:rPr>
          <w:rStyle w:val="Appelnotedebasdep"/>
        </w:rPr>
        <w:footnoteRef/>
      </w:r>
      <w:r>
        <w:t xml:space="preserve"> 85% des ESMS remplissent aujourd’hui de façon complète le tableau de bord de la performance. L’ATIH va conduire une étude pour mieux cerner les caractéristiques et difficultés rencontrées par les 15% de structures non répondantes.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B496" w14:textId="69A1A130" w:rsidR="00871E30" w:rsidRDefault="00871E30" w:rsidP="005E4C5C">
    <w:pPr>
      <w:pStyle w:val="En-tte"/>
      <w:tabs>
        <w:tab w:val="clear" w:pos="4536"/>
      </w:tabs>
    </w:pPr>
    <w:r>
      <w:tab/>
      <w:t>Mission Attractivité</w:t>
    </w:r>
    <w:r w:rsidR="00412705">
      <w:t xml:space="preserve"> des métiers de l’autonomie – 15</w:t>
    </w:r>
    <w:r>
      <w:t xml:space="preserve"> juillet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06"/>
    <w:multiLevelType w:val="hybridMultilevel"/>
    <w:tmpl w:val="F5068DF2"/>
    <w:lvl w:ilvl="0" w:tplc="08608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A582B"/>
    <w:multiLevelType w:val="multilevel"/>
    <w:tmpl w:val="6F326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5062F67"/>
    <w:multiLevelType w:val="multilevel"/>
    <w:tmpl w:val="75BAF55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AE26599"/>
    <w:multiLevelType w:val="hybridMultilevel"/>
    <w:tmpl w:val="CECE6E5C"/>
    <w:lvl w:ilvl="0" w:tplc="F3489A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C126B"/>
    <w:multiLevelType w:val="hybridMultilevel"/>
    <w:tmpl w:val="71FA02BE"/>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AF75AC"/>
    <w:multiLevelType w:val="hybridMultilevel"/>
    <w:tmpl w:val="1E04D7B8"/>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6A4FE9"/>
    <w:multiLevelType w:val="hybridMultilevel"/>
    <w:tmpl w:val="E30E3ECE"/>
    <w:lvl w:ilvl="0" w:tplc="08608B6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7D911D5"/>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9D9416B"/>
    <w:multiLevelType w:val="hybridMultilevel"/>
    <w:tmpl w:val="B5D8D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000BD4"/>
    <w:multiLevelType w:val="hybridMultilevel"/>
    <w:tmpl w:val="023AD89C"/>
    <w:lvl w:ilvl="0" w:tplc="08608B66">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C1F0DB1"/>
    <w:multiLevelType w:val="multilevel"/>
    <w:tmpl w:val="EBEEA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1B61D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4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50713B20"/>
    <w:multiLevelType w:val="multilevel"/>
    <w:tmpl w:val="F55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AE5BE9"/>
    <w:multiLevelType w:val="hybridMultilevel"/>
    <w:tmpl w:val="0EB0E62E"/>
    <w:lvl w:ilvl="0" w:tplc="040C0003">
      <w:start w:val="1"/>
      <w:numFmt w:val="bullet"/>
      <w:lvlText w:val="o"/>
      <w:lvlJc w:val="left"/>
      <w:pPr>
        <w:ind w:left="-546" w:hanging="360"/>
      </w:pPr>
      <w:rPr>
        <w:rFonts w:ascii="Courier New" w:hAnsi="Courier New" w:cs="Courier New" w:hint="default"/>
      </w:rPr>
    </w:lvl>
    <w:lvl w:ilvl="1" w:tplc="040C0003">
      <w:start w:val="1"/>
      <w:numFmt w:val="bullet"/>
      <w:lvlText w:val="o"/>
      <w:lvlJc w:val="left"/>
      <w:pPr>
        <w:ind w:left="174" w:hanging="360"/>
      </w:pPr>
      <w:rPr>
        <w:rFonts w:ascii="Courier New" w:hAnsi="Courier New" w:cs="Courier New" w:hint="default"/>
      </w:rPr>
    </w:lvl>
    <w:lvl w:ilvl="2" w:tplc="040C0005" w:tentative="1">
      <w:start w:val="1"/>
      <w:numFmt w:val="bullet"/>
      <w:lvlText w:val=""/>
      <w:lvlJc w:val="left"/>
      <w:pPr>
        <w:ind w:left="894" w:hanging="360"/>
      </w:pPr>
      <w:rPr>
        <w:rFonts w:ascii="Wingdings" w:hAnsi="Wingdings" w:hint="default"/>
      </w:rPr>
    </w:lvl>
    <w:lvl w:ilvl="3" w:tplc="040C0001" w:tentative="1">
      <w:start w:val="1"/>
      <w:numFmt w:val="bullet"/>
      <w:lvlText w:val=""/>
      <w:lvlJc w:val="left"/>
      <w:pPr>
        <w:ind w:left="1614" w:hanging="360"/>
      </w:pPr>
      <w:rPr>
        <w:rFonts w:ascii="Symbol" w:hAnsi="Symbol" w:hint="default"/>
      </w:rPr>
    </w:lvl>
    <w:lvl w:ilvl="4" w:tplc="040C0003" w:tentative="1">
      <w:start w:val="1"/>
      <w:numFmt w:val="bullet"/>
      <w:lvlText w:val="o"/>
      <w:lvlJc w:val="left"/>
      <w:pPr>
        <w:ind w:left="2334" w:hanging="360"/>
      </w:pPr>
      <w:rPr>
        <w:rFonts w:ascii="Courier New" w:hAnsi="Courier New" w:cs="Courier New" w:hint="default"/>
      </w:rPr>
    </w:lvl>
    <w:lvl w:ilvl="5" w:tplc="040C0005" w:tentative="1">
      <w:start w:val="1"/>
      <w:numFmt w:val="bullet"/>
      <w:lvlText w:val=""/>
      <w:lvlJc w:val="left"/>
      <w:pPr>
        <w:ind w:left="3054" w:hanging="360"/>
      </w:pPr>
      <w:rPr>
        <w:rFonts w:ascii="Wingdings" w:hAnsi="Wingdings" w:hint="default"/>
      </w:rPr>
    </w:lvl>
    <w:lvl w:ilvl="6" w:tplc="040C0001" w:tentative="1">
      <w:start w:val="1"/>
      <w:numFmt w:val="bullet"/>
      <w:lvlText w:val=""/>
      <w:lvlJc w:val="left"/>
      <w:pPr>
        <w:ind w:left="3774" w:hanging="360"/>
      </w:pPr>
      <w:rPr>
        <w:rFonts w:ascii="Symbol" w:hAnsi="Symbol" w:hint="default"/>
      </w:rPr>
    </w:lvl>
    <w:lvl w:ilvl="7" w:tplc="040C0003" w:tentative="1">
      <w:start w:val="1"/>
      <w:numFmt w:val="bullet"/>
      <w:lvlText w:val="o"/>
      <w:lvlJc w:val="left"/>
      <w:pPr>
        <w:ind w:left="4494" w:hanging="360"/>
      </w:pPr>
      <w:rPr>
        <w:rFonts w:ascii="Courier New" w:hAnsi="Courier New" w:cs="Courier New" w:hint="default"/>
      </w:rPr>
    </w:lvl>
    <w:lvl w:ilvl="8" w:tplc="040C0005" w:tentative="1">
      <w:start w:val="1"/>
      <w:numFmt w:val="bullet"/>
      <w:lvlText w:val=""/>
      <w:lvlJc w:val="left"/>
      <w:pPr>
        <w:ind w:left="5214" w:hanging="360"/>
      </w:pPr>
      <w:rPr>
        <w:rFonts w:ascii="Wingdings" w:hAnsi="Wingdings" w:hint="default"/>
      </w:rPr>
    </w:lvl>
  </w:abstractNum>
  <w:abstractNum w:abstractNumId="14" w15:restartNumberingAfterBreak="0">
    <w:nsid w:val="68F13C4D"/>
    <w:multiLevelType w:val="hybridMultilevel"/>
    <w:tmpl w:val="4FF00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7F229D"/>
    <w:multiLevelType w:val="hybridMultilevel"/>
    <w:tmpl w:val="30440C34"/>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2A7436"/>
    <w:multiLevelType w:val="hybridMultilevel"/>
    <w:tmpl w:val="2B609092"/>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6F2B7A"/>
    <w:multiLevelType w:val="hybridMultilevel"/>
    <w:tmpl w:val="5864788C"/>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CCD"/>
    <w:multiLevelType w:val="hybridMultilevel"/>
    <w:tmpl w:val="AAC49ACE"/>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2535E1"/>
    <w:multiLevelType w:val="hybridMultilevel"/>
    <w:tmpl w:val="557876F0"/>
    <w:lvl w:ilvl="0" w:tplc="08608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
  </w:num>
  <w:num w:numId="5">
    <w:abstractNumId w:val="2"/>
  </w:num>
  <w:num w:numId="6">
    <w:abstractNumId w:val="10"/>
  </w:num>
  <w:num w:numId="7">
    <w:abstractNumId w:val="8"/>
  </w:num>
  <w:num w:numId="8">
    <w:abstractNumId w:val="16"/>
  </w:num>
  <w:num w:numId="9">
    <w:abstractNumId w:val="18"/>
  </w:num>
  <w:num w:numId="10">
    <w:abstractNumId w:val="14"/>
  </w:num>
  <w:num w:numId="11">
    <w:abstractNumId w:val="5"/>
  </w:num>
  <w:num w:numId="12">
    <w:abstractNumId w:val="17"/>
  </w:num>
  <w:num w:numId="13">
    <w:abstractNumId w:val="13"/>
  </w:num>
  <w:num w:numId="14">
    <w:abstractNumId w:val="3"/>
  </w:num>
  <w:num w:numId="15">
    <w:abstractNumId w:val="6"/>
  </w:num>
  <w:num w:numId="16">
    <w:abstractNumId w:val="9"/>
  </w:num>
  <w:num w:numId="17">
    <w:abstractNumId w:val="15"/>
  </w:num>
  <w:num w:numId="18">
    <w:abstractNumId w:val="19"/>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8"/>
    <w:rsid w:val="00007846"/>
    <w:rsid w:val="00010941"/>
    <w:rsid w:val="00010D76"/>
    <w:rsid w:val="000113C6"/>
    <w:rsid w:val="00011AE7"/>
    <w:rsid w:val="000123ED"/>
    <w:rsid w:val="000172CD"/>
    <w:rsid w:val="00020217"/>
    <w:rsid w:val="0002093F"/>
    <w:rsid w:val="000242A8"/>
    <w:rsid w:val="00024FC3"/>
    <w:rsid w:val="00034498"/>
    <w:rsid w:val="00035BB0"/>
    <w:rsid w:val="00036707"/>
    <w:rsid w:val="0004260E"/>
    <w:rsid w:val="000428D6"/>
    <w:rsid w:val="00043DEB"/>
    <w:rsid w:val="00050986"/>
    <w:rsid w:val="000548F7"/>
    <w:rsid w:val="00060276"/>
    <w:rsid w:val="00065376"/>
    <w:rsid w:val="00065472"/>
    <w:rsid w:val="0007172E"/>
    <w:rsid w:val="00073A21"/>
    <w:rsid w:val="0007666B"/>
    <w:rsid w:val="000844CE"/>
    <w:rsid w:val="00086338"/>
    <w:rsid w:val="000917AA"/>
    <w:rsid w:val="00092E95"/>
    <w:rsid w:val="0009404E"/>
    <w:rsid w:val="000B0615"/>
    <w:rsid w:val="000B53FE"/>
    <w:rsid w:val="000C42A2"/>
    <w:rsid w:val="000C44CD"/>
    <w:rsid w:val="000D007C"/>
    <w:rsid w:val="000D6319"/>
    <w:rsid w:val="000D78B2"/>
    <w:rsid w:val="000E02E7"/>
    <w:rsid w:val="000F6BE2"/>
    <w:rsid w:val="000F6E2A"/>
    <w:rsid w:val="00111E83"/>
    <w:rsid w:val="00114B26"/>
    <w:rsid w:val="00115D22"/>
    <w:rsid w:val="00116E93"/>
    <w:rsid w:val="00117262"/>
    <w:rsid w:val="00120FE7"/>
    <w:rsid w:val="0012601E"/>
    <w:rsid w:val="00131EF4"/>
    <w:rsid w:val="00133FBB"/>
    <w:rsid w:val="00140F76"/>
    <w:rsid w:val="00145D77"/>
    <w:rsid w:val="001464F4"/>
    <w:rsid w:val="001513B1"/>
    <w:rsid w:val="00152D42"/>
    <w:rsid w:val="00156A8C"/>
    <w:rsid w:val="00167883"/>
    <w:rsid w:val="00170911"/>
    <w:rsid w:val="001743A2"/>
    <w:rsid w:val="00187851"/>
    <w:rsid w:val="0019251E"/>
    <w:rsid w:val="001962AE"/>
    <w:rsid w:val="001A2CFB"/>
    <w:rsid w:val="001A4341"/>
    <w:rsid w:val="001A557F"/>
    <w:rsid w:val="001A6689"/>
    <w:rsid w:val="001C0045"/>
    <w:rsid w:val="001C24AA"/>
    <w:rsid w:val="001F0C7A"/>
    <w:rsid w:val="0021267B"/>
    <w:rsid w:val="00212717"/>
    <w:rsid w:val="002339CF"/>
    <w:rsid w:val="00240E0D"/>
    <w:rsid w:val="002519F0"/>
    <w:rsid w:val="00251B53"/>
    <w:rsid w:val="00252D6E"/>
    <w:rsid w:val="00255B45"/>
    <w:rsid w:val="002856AF"/>
    <w:rsid w:val="00287DDE"/>
    <w:rsid w:val="00290D8F"/>
    <w:rsid w:val="002A4356"/>
    <w:rsid w:val="002B25CE"/>
    <w:rsid w:val="002C1C57"/>
    <w:rsid w:val="002C211B"/>
    <w:rsid w:val="002D2B57"/>
    <w:rsid w:val="00307A04"/>
    <w:rsid w:val="00312851"/>
    <w:rsid w:val="00313522"/>
    <w:rsid w:val="00325B80"/>
    <w:rsid w:val="00327E10"/>
    <w:rsid w:val="00330FBC"/>
    <w:rsid w:val="0034715D"/>
    <w:rsid w:val="00350B95"/>
    <w:rsid w:val="003712E3"/>
    <w:rsid w:val="00383ED2"/>
    <w:rsid w:val="00391F1E"/>
    <w:rsid w:val="0039285E"/>
    <w:rsid w:val="00395205"/>
    <w:rsid w:val="003956E1"/>
    <w:rsid w:val="003A48D6"/>
    <w:rsid w:val="003A77B6"/>
    <w:rsid w:val="003B4570"/>
    <w:rsid w:val="003C08E8"/>
    <w:rsid w:val="003C3640"/>
    <w:rsid w:val="003E63BE"/>
    <w:rsid w:val="003F5023"/>
    <w:rsid w:val="003F709D"/>
    <w:rsid w:val="00405245"/>
    <w:rsid w:val="00412705"/>
    <w:rsid w:val="0041622D"/>
    <w:rsid w:val="00422A21"/>
    <w:rsid w:val="004250C0"/>
    <w:rsid w:val="00426758"/>
    <w:rsid w:val="00430E27"/>
    <w:rsid w:val="004579A6"/>
    <w:rsid w:val="0046043E"/>
    <w:rsid w:val="004711F0"/>
    <w:rsid w:val="00472388"/>
    <w:rsid w:val="0047246B"/>
    <w:rsid w:val="00472960"/>
    <w:rsid w:val="00474993"/>
    <w:rsid w:val="0048273E"/>
    <w:rsid w:val="00482E92"/>
    <w:rsid w:val="00494F44"/>
    <w:rsid w:val="004C71F9"/>
    <w:rsid w:val="004D2E93"/>
    <w:rsid w:val="004D4889"/>
    <w:rsid w:val="004E4209"/>
    <w:rsid w:val="005011F6"/>
    <w:rsid w:val="005036FC"/>
    <w:rsid w:val="0052021F"/>
    <w:rsid w:val="00536CBA"/>
    <w:rsid w:val="00542EEC"/>
    <w:rsid w:val="005456AD"/>
    <w:rsid w:val="00545D86"/>
    <w:rsid w:val="0056745D"/>
    <w:rsid w:val="00567F8D"/>
    <w:rsid w:val="005737CA"/>
    <w:rsid w:val="00575BEC"/>
    <w:rsid w:val="0058333C"/>
    <w:rsid w:val="005855CF"/>
    <w:rsid w:val="005865BC"/>
    <w:rsid w:val="005A0C11"/>
    <w:rsid w:val="005A6D78"/>
    <w:rsid w:val="005B4D82"/>
    <w:rsid w:val="005C22E3"/>
    <w:rsid w:val="005C5458"/>
    <w:rsid w:val="005C79F6"/>
    <w:rsid w:val="005D2FEE"/>
    <w:rsid w:val="005D5BB2"/>
    <w:rsid w:val="005E4289"/>
    <w:rsid w:val="005E45E9"/>
    <w:rsid w:val="005E4C5C"/>
    <w:rsid w:val="005F3C3B"/>
    <w:rsid w:val="005F40EF"/>
    <w:rsid w:val="005F5F36"/>
    <w:rsid w:val="00600B4C"/>
    <w:rsid w:val="00602805"/>
    <w:rsid w:val="00607E11"/>
    <w:rsid w:val="006165B9"/>
    <w:rsid w:val="00621287"/>
    <w:rsid w:val="0062163C"/>
    <w:rsid w:val="006260DF"/>
    <w:rsid w:val="0062618B"/>
    <w:rsid w:val="00626D80"/>
    <w:rsid w:val="0063665D"/>
    <w:rsid w:val="006404D9"/>
    <w:rsid w:val="00641BCB"/>
    <w:rsid w:val="006422F1"/>
    <w:rsid w:val="00651136"/>
    <w:rsid w:val="006718F0"/>
    <w:rsid w:val="006768FC"/>
    <w:rsid w:val="006865D6"/>
    <w:rsid w:val="0069084A"/>
    <w:rsid w:val="00690D15"/>
    <w:rsid w:val="00697F2E"/>
    <w:rsid w:val="006A1595"/>
    <w:rsid w:val="006A183A"/>
    <w:rsid w:val="006A199E"/>
    <w:rsid w:val="006A3B13"/>
    <w:rsid w:val="006B092B"/>
    <w:rsid w:val="006B27B1"/>
    <w:rsid w:val="006B2C5A"/>
    <w:rsid w:val="006C14C3"/>
    <w:rsid w:val="006C37F2"/>
    <w:rsid w:val="006C471C"/>
    <w:rsid w:val="006D2A38"/>
    <w:rsid w:val="006D536B"/>
    <w:rsid w:val="006E091F"/>
    <w:rsid w:val="006E20DD"/>
    <w:rsid w:val="006E27C3"/>
    <w:rsid w:val="006F3898"/>
    <w:rsid w:val="006F3D74"/>
    <w:rsid w:val="006F51A1"/>
    <w:rsid w:val="007033C6"/>
    <w:rsid w:val="00703E02"/>
    <w:rsid w:val="00705C05"/>
    <w:rsid w:val="0071066C"/>
    <w:rsid w:val="0071303D"/>
    <w:rsid w:val="00716783"/>
    <w:rsid w:val="00716B28"/>
    <w:rsid w:val="00741F62"/>
    <w:rsid w:val="00743804"/>
    <w:rsid w:val="0074446D"/>
    <w:rsid w:val="00745160"/>
    <w:rsid w:val="00745B6B"/>
    <w:rsid w:val="00746065"/>
    <w:rsid w:val="00756BE5"/>
    <w:rsid w:val="00761943"/>
    <w:rsid w:val="00763ECE"/>
    <w:rsid w:val="00771338"/>
    <w:rsid w:val="007928DB"/>
    <w:rsid w:val="00796834"/>
    <w:rsid w:val="007A02BE"/>
    <w:rsid w:val="007A22AA"/>
    <w:rsid w:val="007A4AF4"/>
    <w:rsid w:val="007B4485"/>
    <w:rsid w:val="007C1E37"/>
    <w:rsid w:val="007C2533"/>
    <w:rsid w:val="007C63BB"/>
    <w:rsid w:val="007D2362"/>
    <w:rsid w:val="007D7369"/>
    <w:rsid w:val="007E0158"/>
    <w:rsid w:val="007E6CFE"/>
    <w:rsid w:val="008001B0"/>
    <w:rsid w:val="00804AAF"/>
    <w:rsid w:val="00811ECA"/>
    <w:rsid w:val="00821B7A"/>
    <w:rsid w:val="00823788"/>
    <w:rsid w:val="0083524F"/>
    <w:rsid w:val="0084378E"/>
    <w:rsid w:val="00843948"/>
    <w:rsid w:val="00845D49"/>
    <w:rsid w:val="00851D14"/>
    <w:rsid w:val="008521A3"/>
    <w:rsid w:val="00860124"/>
    <w:rsid w:val="00860666"/>
    <w:rsid w:val="00867321"/>
    <w:rsid w:val="00871E30"/>
    <w:rsid w:val="00875BF1"/>
    <w:rsid w:val="00880865"/>
    <w:rsid w:val="008817A6"/>
    <w:rsid w:val="00890B7E"/>
    <w:rsid w:val="00895E1A"/>
    <w:rsid w:val="008A3EB2"/>
    <w:rsid w:val="008B2BD6"/>
    <w:rsid w:val="008B501C"/>
    <w:rsid w:val="008B51DB"/>
    <w:rsid w:val="008B7116"/>
    <w:rsid w:val="008B7D73"/>
    <w:rsid w:val="008C003D"/>
    <w:rsid w:val="008C4820"/>
    <w:rsid w:val="008C51DE"/>
    <w:rsid w:val="008D1CF2"/>
    <w:rsid w:val="008E0F40"/>
    <w:rsid w:val="008E5586"/>
    <w:rsid w:val="008F0E1A"/>
    <w:rsid w:val="008F501C"/>
    <w:rsid w:val="00904622"/>
    <w:rsid w:val="00911D4D"/>
    <w:rsid w:val="00913B25"/>
    <w:rsid w:val="00915BC2"/>
    <w:rsid w:val="00926C78"/>
    <w:rsid w:val="0093001D"/>
    <w:rsid w:val="009301BF"/>
    <w:rsid w:val="009450FC"/>
    <w:rsid w:val="00947CFD"/>
    <w:rsid w:val="00963734"/>
    <w:rsid w:val="00965057"/>
    <w:rsid w:val="00967846"/>
    <w:rsid w:val="00967E34"/>
    <w:rsid w:val="00972F76"/>
    <w:rsid w:val="00976B56"/>
    <w:rsid w:val="009834F4"/>
    <w:rsid w:val="009869BC"/>
    <w:rsid w:val="00987E5F"/>
    <w:rsid w:val="00994880"/>
    <w:rsid w:val="009A238E"/>
    <w:rsid w:val="009A315F"/>
    <w:rsid w:val="009A5340"/>
    <w:rsid w:val="009D5165"/>
    <w:rsid w:val="009D6AC8"/>
    <w:rsid w:val="009D76ED"/>
    <w:rsid w:val="009E0536"/>
    <w:rsid w:val="009E05ED"/>
    <w:rsid w:val="009E16E6"/>
    <w:rsid w:val="009F5780"/>
    <w:rsid w:val="009F6EDB"/>
    <w:rsid w:val="00A074FB"/>
    <w:rsid w:val="00A10C75"/>
    <w:rsid w:val="00A10FE4"/>
    <w:rsid w:val="00A12C59"/>
    <w:rsid w:val="00A14357"/>
    <w:rsid w:val="00A17300"/>
    <w:rsid w:val="00A24299"/>
    <w:rsid w:val="00A369B8"/>
    <w:rsid w:val="00A40C0E"/>
    <w:rsid w:val="00A46B63"/>
    <w:rsid w:val="00A533BF"/>
    <w:rsid w:val="00A56674"/>
    <w:rsid w:val="00A65613"/>
    <w:rsid w:val="00A725D9"/>
    <w:rsid w:val="00A72EAB"/>
    <w:rsid w:val="00A738D3"/>
    <w:rsid w:val="00A766F3"/>
    <w:rsid w:val="00A84D94"/>
    <w:rsid w:val="00A8620B"/>
    <w:rsid w:val="00A87F80"/>
    <w:rsid w:val="00A94F04"/>
    <w:rsid w:val="00AA2E38"/>
    <w:rsid w:val="00AB07DD"/>
    <w:rsid w:val="00AC02C4"/>
    <w:rsid w:val="00AD45B6"/>
    <w:rsid w:val="00AD57C6"/>
    <w:rsid w:val="00AE1B66"/>
    <w:rsid w:val="00AE2109"/>
    <w:rsid w:val="00AE652C"/>
    <w:rsid w:val="00B11DA9"/>
    <w:rsid w:val="00B13AE8"/>
    <w:rsid w:val="00B13E1C"/>
    <w:rsid w:val="00B208DD"/>
    <w:rsid w:val="00B25A10"/>
    <w:rsid w:val="00B34894"/>
    <w:rsid w:val="00B34BFE"/>
    <w:rsid w:val="00B34DDF"/>
    <w:rsid w:val="00B3516A"/>
    <w:rsid w:val="00B360B1"/>
    <w:rsid w:val="00B53A06"/>
    <w:rsid w:val="00B569BF"/>
    <w:rsid w:val="00B62EB4"/>
    <w:rsid w:val="00B66BF5"/>
    <w:rsid w:val="00B67609"/>
    <w:rsid w:val="00B833B4"/>
    <w:rsid w:val="00B91A17"/>
    <w:rsid w:val="00B92751"/>
    <w:rsid w:val="00BA2609"/>
    <w:rsid w:val="00BA7402"/>
    <w:rsid w:val="00BC11BA"/>
    <w:rsid w:val="00BC7542"/>
    <w:rsid w:val="00BD13C8"/>
    <w:rsid w:val="00BD4F83"/>
    <w:rsid w:val="00BE27F4"/>
    <w:rsid w:val="00BF03A2"/>
    <w:rsid w:val="00BF0A1A"/>
    <w:rsid w:val="00BF21FF"/>
    <w:rsid w:val="00C0195F"/>
    <w:rsid w:val="00C11403"/>
    <w:rsid w:val="00C136C2"/>
    <w:rsid w:val="00C214FE"/>
    <w:rsid w:val="00C266B0"/>
    <w:rsid w:val="00C26E04"/>
    <w:rsid w:val="00C33F96"/>
    <w:rsid w:val="00C43C8A"/>
    <w:rsid w:val="00C45A2E"/>
    <w:rsid w:val="00C51EAE"/>
    <w:rsid w:val="00C54952"/>
    <w:rsid w:val="00C61E67"/>
    <w:rsid w:val="00C650A5"/>
    <w:rsid w:val="00C65132"/>
    <w:rsid w:val="00C70592"/>
    <w:rsid w:val="00C70945"/>
    <w:rsid w:val="00C85739"/>
    <w:rsid w:val="00CA291B"/>
    <w:rsid w:val="00CA3EC2"/>
    <w:rsid w:val="00CA7C43"/>
    <w:rsid w:val="00CB6FAC"/>
    <w:rsid w:val="00CC1F82"/>
    <w:rsid w:val="00CC5547"/>
    <w:rsid w:val="00CC5BC0"/>
    <w:rsid w:val="00CC792D"/>
    <w:rsid w:val="00CD06B3"/>
    <w:rsid w:val="00CD429A"/>
    <w:rsid w:val="00CE1D04"/>
    <w:rsid w:val="00CF450E"/>
    <w:rsid w:val="00D17A84"/>
    <w:rsid w:val="00D32725"/>
    <w:rsid w:val="00D32EB9"/>
    <w:rsid w:val="00D56578"/>
    <w:rsid w:val="00D67BBA"/>
    <w:rsid w:val="00D73564"/>
    <w:rsid w:val="00D77D4B"/>
    <w:rsid w:val="00D84C63"/>
    <w:rsid w:val="00D912BB"/>
    <w:rsid w:val="00D953D1"/>
    <w:rsid w:val="00D962CC"/>
    <w:rsid w:val="00D97652"/>
    <w:rsid w:val="00DA01F8"/>
    <w:rsid w:val="00DA273C"/>
    <w:rsid w:val="00DA446B"/>
    <w:rsid w:val="00DA5CEF"/>
    <w:rsid w:val="00DB3316"/>
    <w:rsid w:val="00DC2C3A"/>
    <w:rsid w:val="00E20406"/>
    <w:rsid w:val="00E3080A"/>
    <w:rsid w:val="00E3553E"/>
    <w:rsid w:val="00E35C09"/>
    <w:rsid w:val="00E42B87"/>
    <w:rsid w:val="00E52BBE"/>
    <w:rsid w:val="00E62CFA"/>
    <w:rsid w:val="00E65537"/>
    <w:rsid w:val="00E67500"/>
    <w:rsid w:val="00E75871"/>
    <w:rsid w:val="00E843D9"/>
    <w:rsid w:val="00E8632E"/>
    <w:rsid w:val="00E924C4"/>
    <w:rsid w:val="00E9761B"/>
    <w:rsid w:val="00EA310F"/>
    <w:rsid w:val="00EB50F4"/>
    <w:rsid w:val="00EC5CCE"/>
    <w:rsid w:val="00EC6DB4"/>
    <w:rsid w:val="00ED2E9E"/>
    <w:rsid w:val="00F01321"/>
    <w:rsid w:val="00F1371D"/>
    <w:rsid w:val="00F15259"/>
    <w:rsid w:val="00F33B40"/>
    <w:rsid w:val="00F351D4"/>
    <w:rsid w:val="00F46246"/>
    <w:rsid w:val="00F628D5"/>
    <w:rsid w:val="00F62CAC"/>
    <w:rsid w:val="00F74E2F"/>
    <w:rsid w:val="00F90464"/>
    <w:rsid w:val="00F9389F"/>
    <w:rsid w:val="00F958D2"/>
    <w:rsid w:val="00F95D7D"/>
    <w:rsid w:val="00FC453B"/>
    <w:rsid w:val="00FD57AE"/>
    <w:rsid w:val="00FD75BD"/>
    <w:rsid w:val="00FD7727"/>
    <w:rsid w:val="00FF5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F3E0"/>
  <w15:chartTrackingRefBased/>
  <w15:docId w15:val="{8CE84310-7DEA-46FA-9105-C96AEC96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B6"/>
    <w:pPr>
      <w:spacing w:after="60" w:line="240" w:lineRule="auto"/>
      <w:jc w:val="both"/>
    </w:pPr>
  </w:style>
  <w:style w:type="paragraph" w:styleId="Titre1">
    <w:name w:val="heading 1"/>
    <w:basedOn w:val="Normal"/>
    <w:next w:val="Normal"/>
    <w:link w:val="Titre1Car"/>
    <w:uiPriority w:val="9"/>
    <w:qFormat/>
    <w:rsid w:val="0007666B"/>
    <w:pPr>
      <w:keepNext/>
      <w:keepLines/>
      <w:numPr>
        <w:numId w:val="3"/>
      </w:numPr>
      <w:spacing w:before="240" w:after="120"/>
      <w:ind w:left="431" w:hanging="431"/>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7666B"/>
    <w:pPr>
      <w:keepNext/>
      <w:keepLines/>
      <w:numPr>
        <w:ilvl w:val="1"/>
        <w:numId w:val="3"/>
      </w:numPr>
      <w:spacing w:before="240" w:after="120"/>
      <w:ind w:left="578" w:hanging="578"/>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51B53"/>
    <w:pPr>
      <w:keepNext/>
      <w:keepLines/>
      <w:numPr>
        <w:ilvl w:val="2"/>
        <w:numId w:val="3"/>
      </w:numPr>
      <w:spacing w:before="240" w:after="120"/>
      <w:ind w:left="1287"/>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51B53"/>
    <w:pPr>
      <w:keepNext/>
      <w:keepLines/>
      <w:numPr>
        <w:ilvl w:val="3"/>
        <w:numId w:val="3"/>
      </w:numPr>
      <w:spacing w:before="240" w:after="120"/>
      <w:ind w:left="1996" w:hanging="862"/>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84C6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84C6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84C6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84C6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84C6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A38"/>
    <w:pPr>
      <w:ind w:left="720"/>
      <w:contextualSpacing/>
    </w:pPr>
  </w:style>
  <w:style w:type="paragraph" w:styleId="En-tte">
    <w:name w:val="header"/>
    <w:basedOn w:val="Normal"/>
    <w:link w:val="En-tteCar"/>
    <w:uiPriority w:val="99"/>
    <w:unhideWhenUsed/>
    <w:rsid w:val="00845D49"/>
    <w:pPr>
      <w:tabs>
        <w:tab w:val="center" w:pos="4536"/>
        <w:tab w:val="right" w:pos="9072"/>
      </w:tabs>
      <w:spacing w:after="0"/>
    </w:pPr>
  </w:style>
  <w:style w:type="character" w:customStyle="1" w:styleId="En-tteCar">
    <w:name w:val="En-tête Car"/>
    <w:basedOn w:val="Policepardfaut"/>
    <w:link w:val="En-tte"/>
    <w:uiPriority w:val="99"/>
    <w:rsid w:val="00845D49"/>
  </w:style>
  <w:style w:type="paragraph" w:styleId="Pieddepage">
    <w:name w:val="footer"/>
    <w:basedOn w:val="Normal"/>
    <w:link w:val="PieddepageCar"/>
    <w:uiPriority w:val="99"/>
    <w:unhideWhenUsed/>
    <w:rsid w:val="00845D49"/>
    <w:pPr>
      <w:tabs>
        <w:tab w:val="center" w:pos="4536"/>
        <w:tab w:val="right" w:pos="9072"/>
      </w:tabs>
      <w:spacing w:after="0"/>
    </w:pPr>
  </w:style>
  <w:style w:type="character" w:customStyle="1" w:styleId="PieddepageCar">
    <w:name w:val="Pied de page Car"/>
    <w:basedOn w:val="Policepardfaut"/>
    <w:link w:val="Pieddepage"/>
    <w:uiPriority w:val="99"/>
    <w:rsid w:val="00845D49"/>
  </w:style>
  <w:style w:type="character" w:customStyle="1" w:styleId="Titre1Car">
    <w:name w:val="Titre 1 Car"/>
    <w:basedOn w:val="Policepardfaut"/>
    <w:link w:val="Titre1"/>
    <w:uiPriority w:val="9"/>
    <w:rsid w:val="0007666B"/>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5E4C5C"/>
    <w:rPr>
      <w:sz w:val="16"/>
      <w:szCs w:val="16"/>
    </w:rPr>
  </w:style>
  <w:style w:type="paragraph" w:styleId="Commentaire">
    <w:name w:val="annotation text"/>
    <w:basedOn w:val="Normal"/>
    <w:link w:val="CommentaireCar"/>
    <w:uiPriority w:val="99"/>
    <w:semiHidden/>
    <w:unhideWhenUsed/>
    <w:rsid w:val="005E4C5C"/>
    <w:rPr>
      <w:sz w:val="20"/>
      <w:szCs w:val="20"/>
    </w:rPr>
  </w:style>
  <w:style w:type="character" w:customStyle="1" w:styleId="CommentaireCar">
    <w:name w:val="Commentaire Car"/>
    <w:basedOn w:val="Policepardfaut"/>
    <w:link w:val="Commentaire"/>
    <w:uiPriority w:val="99"/>
    <w:semiHidden/>
    <w:rsid w:val="005E4C5C"/>
    <w:rPr>
      <w:sz w:val="20"/>
      <w:szCs w:val="20"/>
    </w:rPr>
  </w:style>
  <w:style w:type="paragraph" w:styleId="Objetducommentaire">
    <w:name w:val="annotation subject"/>
    <w:basedOn w:val="Commentaire"/>
    <w:next w:val="Commentaire"/>
    <w:link w:val="ObjetducommentaireCar"/>
    <w:uiPriority w:val="99"/>
    <w:semiHidden/>
    <w:unhideWhenUsed/>
    <w:rsid w:val="005E4C5C"/>
    <w:rPr>
      <w:b/>
      <w:bCs/>
    </w:rPr>
  </w:style>
  <w:style w:type="character" w:customStyle="1" w:styleId="ObjetducommentaireCar">
    <w:name w:val="Objet du commentaire Car"/>
    <w:basedOn w:val="CommentaireCar"/>
    <w:link w:val="Objetducommentaire"/>
    <w:uiPriority w:val="99"/>
    <w:semiHidden/>
    <w:rsid w:val="005E4C5C"/>
    <w:rPr>
      <w:b/>
      <w:bCs/>
      <w:sz w:val="20"/>
      <w:szCs w:val="20"/>
    </w:rPr>
  </w:style>
  <w:style w:type="paragraph" w:styleId="Textedebulles">
    <w:name w:val="Balloon Text"/>
    <w:basedOn w:val="Normal"/>
    <w:link w:val="TextedebullesCar"/>
    <w:uiPriority w:val="99"/>
    <w:semiHidden/>
    <w:unhideWhenUsed/>
    <w:rsid w:val="005E4C5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C5C"/>
    <w:rPr>
      <w:rFonts w:ascii="Segoe UI" w:hAnsi="Segoe UI" w:cs="Segoe UI"/>
      <w:sz w:val="18"/>
      <w:szCs w:val="18"/>
    </w:rPr>
  </w:style>
  <w:style w:type="paragraph" w:styleId="Titre">
    <w:name w:val="Title"/>
    <w:basedOn w:val="Normal"/>
    <w:next w:val="Normal"/>
    <w:link w:val="TitreCar"/>
    <w:uiPriority w:val="10"/>
    <w:qFormat/>
    <w:rsid w:val="00D84C63"/>
    <w:pPr>
      <w:spacing w:after="0"/>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D84C63"/>
    <w:rPr>
      <w:rFonts w:asciiTheme="majorHAnsi" w:eastAsiaTheme="majorEastAsia" w:hAnsiTheme="majorHAnsi" w:cstheme="majorBidi"/>
      <w:b/>
      <w:spacing w:val="-10"/>
      <w:kern w:val="28"/>
      <w:sz w:val="28"/>
      <w:szCs w:val="56"/>
    </w:rPr>
  </w:style>
  <w:style w:type="character" w:customStyle="1" w:styleId="Titre2Car">
    <w:name w:val="Titre 2 Car"/>
    <w:basedOn w:val="Policepardfaut"/>
    <w:link w:val="Titre2"/>
    <w:uiPriority w:val="9"/>
    <w:rsid w:val="0007666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51B5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251B5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D84C6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D84C6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84C6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84C6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84C63"/>
    <w:rPr>
      <w:rFonts w:asciiTheme="majorHAnsi" w:eastAsiaTheme="majorEastAsia" w:hAnsiTheme="majorHAnsi" w:cstheme="majorBidi"/>
      <w:i/>
      <w:iCs/>
      <w:color w:val="272727" w:themeColor="text1" w:themeTint="D8"/>
      <w:sz w:val="21"/>
      <w:szCs w:val="21"/>
    </w:rPr>
  </w:style>
  <w:style w:type="paragraph" w:styleId="Sous-titre">
    <w:name w:val="Subtitle"/>
    <w:basedOn w:val="Normal"/>
    <w:next w:val="Normal"/>
    <w:link w:val="Sous-titreCar"/>
    <w:uiPriority w:val="11"/>
    <w:qFormat/>
    <w:rsid w:val="00C214FE"/>
    <w:pPr>
      <w:numPr>
        <w:ilvl w:val="1"/>
      </w:numPr>
    </w:pPr>
    <w:rPr>
      <w:rFonts w:eastAsiaTheme="minorEastAsia"/>
      <w:b/>
      <w:color w:val="5A5A5A" w:themeColor="text1" w:themeTint="A5"/>
      <w:spacing w:val="15"/>
      <w:sz w:val="28"/>
    </w:rPr>
  </w:style>
  <w:style w:type="character" w:customStyle="1" w:styleId="Sous-titreCar">
    <w:name w:val="Sous-titre Car"/>
    <w:basedOn w:val="Policepardfaut"/>
    <w:link w:val="Sous-titre"/>
    <w:uiPriority w:val="11"/>
    <w:rsid w:val="00C214FE"/>
    <w:rPr>
      <w:rFonts w:eastAsiaTheme="minorEastAsia"/>
      <w:b/>
      <w:color w:val="5A5A5A" w:themeColor="text1" w:themeTint="A5"/>
      <w:spacing w:val="15"/>
      <w:sz w:val="28"/>
    </w:rPr>
  </w:style>
  <w:style w:type="paragraph" w:styleId="Notedebasdepage">
    <w:name w:val="footnote text"/>
    <w:basedOn w:val="Normal"/>
    <w:link w:val="NotedebasdepageCar"/>
    <w:uiPriority w:val="99"/>
    <w:semiHidden/>
    <w:unhideWhenUsed/>
    <w:rsid w:val="004D4889"/>
    <w:pPr>
      <w:spacing w:after="0"/>
    </w:pPr>
    <w:rPr>
      <w:sz w:val="20"/>
      <w:szCs w:val="20"/>
    </w:rPr>
  </w:style>
  <w:style w:type="character" w:customStyle="1" w:styleId="NotedebasdepageCar">
    <w:name w:val="Note de bas de page Car"/>
    <w:basedOn w:val="Policepardfaut"/>
    <w:link w:val="Notedebasdepage"/>
    <w:uiPriority w:val="99"/>
    <w:semiHidden/>
    <w:rsid w:val="004D4889"/>
    <w:rPr>
      <w:sz w:val="20"/>
      <w:szCs w:val="20"/>
    </w:rPr>
  </w:style>
  <w:style w:type="character" w:styleId="Appelnotedebasdep">
    <w:name w:val="footnote reference"/>
    <w:basedOn w:val="Policepardfaut"/>
    <w:uiPriority w:val="99"/>
    <w:semiHidden/>
    <w:unhideWhenUsed/>
    <w:rsid w:val="004D4889"/>
    <w:rPr>
      <w:vertAlign w:val="superscript"/>
    </w:rPr>
  </w:style>
  <w:style w:type="paragraph" w:customStyle="1" w:styleId="Default">
    <w:name w:val="Default"/>
    <w:rsid w:val="00542EEC"/>
    <w:pPr>
      <w:autoSpaceDE w:val="0"/>
      <w:autoSpaceDN w:val="0"/>
      <w:adjustRightInd w:val="0"/>
      <w:spacing w:after="0" w:line="240" w:lineRule="auto"/>
    </w:pPr>
    <w:rPr>
      <w:rFonts w:ascii="Times New Roman" w:hAnsi="Times New Roman" w:cs="Times New Roman"/>
      <w:color w:val="000000"/>
      <w:sz w:val="24"/>
      <w:szCs w:val="24"/>
    </w:rPr>
  </w:style>
  <w:style w:type="paragraph" w:styleId="En-ttedetabledesmatires">
    <w:name w:val="TOC Heading"/>
    <w:basedOn w:val="Titre1"/>
    <w:next w:val="Normal"/>
    <w:uiPriority w:val="39"/>
    <w:unhideWhenUsed/>
    <w:qFormat/>
    <w:rsid w:val="00F9389F"/>
    <w:pPr>
      <w:numPr>
        <w:numId w:val="0"/>
      </w:numPr>
      <w:spacing w:after="0" w:line="259" w:lineRule="auto"/>
      <w:jc w:val="left"/>
      <w:outlineLvl w:val="9"/>
    </w:pPr>
    <w:rPr>
      <w:lang w:eastAsia="fr-FR"/>
    </w:rPr>
  </w:style>
  <w:style w:type="paragraph" w:styleId="TM1">
    <w:name w:val="toc 1"/>
    <w:basedOn w:val="Normal"/>
    <w:next w:val="Normal"/>
    <w:autoRedefine/>
    <w:uiPriority w:val="39"/>
    <w:unhideWhenUsed/>
    <w:rsid w:val="00F9389F"/>
    <w:pPr>
      <w:spacing w:after="100"/>
    </w:pPr>
  </w:style>
  <w:style w:type="paragraph" w:styleId="TM2">
    <w:name w:val="toc 2"/>
    <w:basedOn w:val="Normal"/>
    <w:next w:val="Normal"/>
    <w:autoRedefine/>
    <w:uiPriority w:val="39"/>
    <w:unhideWhenUsed/>
    <w:rsid w:val="00F9389F"/>
    <w:pPr>
      <w:spacing w:after="100"/>
      <w:ind w:left="220"/>
    </w:pPr>
  </w:style>
  <w:style w:type="paragraph" w:styleId="TM3">
    <w:name w:val="toc 3"/>
    <w:basedOn w:val="Normal"/>
    <w:next w:val="Normal"/>
    <w:autoRedefine/>
    <w:uiPriority w:val="39"/>
    <w:unhideWhenUsed/>
    <w:rsid w:val="00F9389F"/>
    <w:pPr>
      <w:spacing w:after="100"/>
      <w:ind w:left="440"/>
    </w:pPr>
  </w:style>
  <w:style w:type="character" w:styleId="Lienhypertexte">
    <w:name w:val="Hyperlink"/>
    <w:basedOn w:val="Policepardfaut"/>
    <w:uiPriority w:val="99"/>
    <w:unhideWhenUsed/>
    <w:rsid w:val="00F93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3270">
      <w:bodyDiv w:val="1"/>
      <w:marLeft w:val="0"/>
      <w:marRight w:val="0"/>
      <w:marTop w:val="0"/>
      <w:marBottom w:val="0"/>
      <w:divBdr>
        <w:top w:val="none" w:sz="0" w:space="0" w:color="auto"/>
        <w:left w:val="none" w:sz="0" w:space="0" w:color="auto"/>
        <w:bottom w:val="none" w:sz="0" w:space="0" w:color="auto"/>
        <w:right w:val="none" w:sz="0" w:space="0" w:color="auto"/>
      </w:divBdr>
    </w:div>
    <w:div w:id="322970302">
      <w:bodyDiv w:val="1"/>
      <w:marLeft w:val="0"/>
      <w:marRight w:val="0"/>
      <w:marTop w:val="0"/>
      <w:marBottom w:val="0"/>
      <w:divBdr>
        <w:top w:val="none" w:sz="0" w:space="0" w:color="auto"/>
        <w:left w:val="none" w:sz="0" w:space="0" w:color="auto"/>
        <w:bottom w:val="none" w:sz="0" w:space="0" w:color="auto"/>
        <w:right w:val="none" w:sz="0" w:space="0" w:color="auto"/>
      </w:divBdr>
    </w:div>
    <w:div w:id="339087552">
      <w:bodyDiv w:val="1"/>
      <w:marLeft w:val="0"/>
      <w:marRight w:val="0"/>
      <w:marTop w:val="0"/>
      <w:marBottom w:val="0"/>
      <w:divBdr>
        <w:top w:val="none" w:sz="0" w:space="0" w:color="auto"/>
        <w:left w:val="none" w:sz="0" w:space="0" w:color="auto"/>
        <w:bottom w:val="none" w:sz="0" w:space="0" w:color="auto"/>
        <w:right w:val="none" w:sz="0" w:space="0" w:color="auto"/>
      </w:divBdr>
    </w:div>
    <w:div w:id="373316343">
      <w:bodyDiv w:val="1"/>
      <w:marLeft w:val="0"/>
      <w:marRight w:val="0"/>
      <w:marTop w:val="0"/>
      <w:marBottom w:val="0"/>
      <w:divBdr>
        <w:top w:val="none" w:sz="0" w:space="0" w:color="auto"/>
        <w:left w:val="none" w:sz="0" w:space="0" w:color="auto"/>
        <w:bottom w:val="none" w:sz="0" w:space="0" w:color="auto"/>
        <w:right w:val="none" w:sz="0" w:space="0" w:color="auto"/>
      </w:divBdr>
    </w:div>
    <w:div w:id="766578457">
      <w:bodyDiv w:val="1"/>
      <w:marLeft w:val="0"/>
      <w:marRight w:val="0"/>
      <w:marTop w:val="0"/>
      <w:marBottom w:val="0"/>
      <w:divBdr>
        <w:top w:val="none" w:sz="0" w:space="0" w:color="auto"/>
        <w:left w:val="none" w:sz="0" w:space="0" w:color="auto"/>
        <w:bottom w:val="none" w:sz="0" w:space="0" w:color="auto"/>
        <w:right w:val="none" w:sz="0" w:space="0" w:color="auto"/>
      </w:divBdr>
    </w:div>
    <w:div w:id="782846172">
      <w:bodyDiv w:val="1"/>
      <w:marLeft w:val="0"/>
      <w:marRight w:val="0"/>
      <w:marTop w:val="0"/>
      <w:marBottom w:val="0"/>
      <w:divBdr>
        <w:top w:val="none" w:sz="0" w:space="0" w:color="auto"/>
        <w:left w:val="none" w:sz="0" w:space="0" w:color="auto"/>
        <w:bottom w:val="none" w:sz="0" w:space="0" w:color="auto"/>
        <w:right w:val="none" w:sz="0" w:space="0" w:color="auto"/>
      </w:divBdr>
    </w:div>
    <w:div w:id="941373449">
      <w:bodyDiv w:val="1"/>
      <w:marLeft w:val="0"/>
      <w:marRight w:val="0"/>
      <w:marTop w:val="0"/>
      <w:marBottom w:val="0"/>
      <w:divBdr>
        <w:top w:val="none" w:sz="0" w:space="0" w:color="auto"/>
        <w:left w:val="none" w:sz="0" w:space="0" w:color="auto"/>
        <w:bottom w:val="none" w:sz="0" w:space="0" w:color="auto"/>
        <w:right w:val="none" w:sz="0" w:space="0" w:color="auto"/>
      </w:divBdr>
    </w:div>
    <w:div w:id="1167282162">
      <w:bodyDiv w:val="1"/>
      <w:marLeft w:val="0"/>
      <w:marRight w:val="0"/>
      <w:marTop w:val="0"/>
      <w:marBottom w:val="0"/>
      <w:divBdr>
        <w:top w:val="none" w:sz="0" w:space="0" w:color="auto"/>
        <w:left w:val="none" w:sz="0" w:space="0" w:color="auto"/>
        <w:bottom w:val="none" w:sz="0" w:space="0" w:color="auto"/>
        <w:right w:val="none" w:sz="0" w:space="0" w:color="auto"/>
      </w:divBdr>
    </w:div>
    <w:div w:id="1311785165">
      <w:bodyDiv w:val="1"/>
      <w:marLeft w:val="0"/>
      <w:marRight w:val="0"/>
      <w:marTop w:val="0"/>
      <w:marBottom w:val="0"/>
      <w:divBdr>
        <w:top w:val="none" w:sz="0" w:space="0" w:color="auto"/>
        <w:left w:val="none" w:sz="0" w:space="0" w:color="auto"/>
        <w:bottom w:val="none" w:sz="0" w:space="0" w:color="auto"/>
        <w:right w:val="none" w:sz="0" w:space="0" w:color="auto"/>
      </w:divBdr>
    </w:div>
    <w:div w:id="1503855887">
      <w:bodyDiv w:val="1"/>
      <w:marLeft w:val="0"/>
      <w:marRight w:val="0"/>
      <w:marTop w:val="0"/>
      <w:marBottom w:val="0"/>
      <w:divBdr>
        <w:top w:val="none" w:sz="0" w:space="0" w:color="auto"/>
        <w:left w:val="none" w:sz="0" w:space="0" w:color="auto"/>
        <w:bottom w:val="none" w:sz="0" w:space="0" w:color="auto"/>
        <w:right w:val="none" w:sz="0" w:space="0" w:color="auto"/>
      </w:divBdr>
    </w:div>
    <w:div w:id="1552500835">
      <w:bodyDiv w:val="1"/>
      <w:marLeft w:val="0"/>
      <w:marRight w:val="0"/>
      <w:marTop w:val="0"/>
      <w:marBottom w:val="0"/>
      <w:divBdr>
        <w:top w:val="none" w:sz="0" w:space="0" w:color="auto"/>
        <w:left w:val="none" w:sz="0" w:space="0" w:color="auto"/>
        <w:bottom w:val="none" w:sz="0" w:space="0" w:color="auto"/>
        <w:right w:val="none" w:sz="0" w:space="0" w:color="auto"/>
      </w:divBdr>
    </w:div>
    <w:div w:id="1584022367">
      <w:bodyDiv w:val="1"/>
      <w:marLeft w:val="0"/>
      <w:marRight w:val="0"/>
      <w:marTop w:val="0"/>
      <w:marBottom w:val="0"/>
      <w:divBdr>
        <w:top w:val="none" w:sz="0" w:space="0" w:color="auto"/>
        <w:left w:val="none" w:sz="0" w:space="0" w:color="auto"/>
        <w:bottom w:val="none" w:sz="0" w:space="0" w:color="auto"/>
        <w:right w:val="none" w:sz="0" w:space="0" w:color="auto"/>
      </w:divBdr>
    </w:div>
    <w:div w:id="1797992107">
      <w:bodyDiv w:val="1"/>
      <w:marLeft w:val="0"/>
      <w:marRight w:val="0"/>
      <w:marTop w:val="0"/>
      <w:marBottom w:val="0"/>
      <w:divBdr>
        <w:top w:val="none" w:sz="0" w:space="0" w:color="auto"/>
        <w:left w:val="none" w:sz="0" w:space="0" w:color="auto"/>
        <w:bottom w:val="none" w:sz="0" w:space="0" w:color="auto"/>
        <w:right w:val="none" w:sz="0" w:space="0" w:color="auto"/>
      </w:divBdr>
    </w:div>
    <w:div w:id="1932926696">
      <w:bodyDiv w:val="1"/>
      <w:marLeft w:val="0"/>
      <w:marRight w:val="0"/>
      <w:marTop w:val="0"/>
      <w:marBottom w:val="0"/>
      <w:divBdr>
        <w:top w:val="none" w:sz="0" w:space="0" w:color="auto"/>
        <w:left w:val="none" w:sz="0" w:space="0" w:color="auto"/>
        <w:bottom w:val="none" w:sz="0" w:space="0" w:color="auto"/>
        <w:right w:val="none" w:sz="0" w:space="0" w:color="auto"/>
      </w:divBdr>
    </w:div>
    <w:div w:id="1981036766">
      <w:bodyDiv w:val="1"/>
      <w:marLeft w:val="0"/>
      <w:marRight w:val="0"/>
      <w:marTop w:val="0"/>
      <w:marBottom w:val="0"/>
      <w:divBdr>
        <w:top w:val="none" w:sz="0" w:space="0" w:color="auto"/>
        <w:left w:val="none" w:sz="0" w:space="0" w:color="auto"/>
        <w:bottom w:val="none" w:sz="0" w:space="0" w:color="auto"/>
        <w:right w:val="none" w:sz="0" w:space="0" w:color="auto"/>
      </w:divBdr>
    </w:div>
    <w:div w:id="2037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04B0-6B91-4776-B37B-A3F235F8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10902</Words>
  <Characters>59963</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MEJANE, Mireille (CAB/AUTONOMIE)</dc:creator>
  <cp:keywords/>
  <dc:description/>
  <cp:lastModifiedBy>cbauchetet@gmail.com</cp:lastModifiedBy>
  <cp:revision>6</cp:revision>
  <cp:lastPrinted>2021-07-07T17:02:00Z</cp:lastPrinted>
  <dcterms:created xsi:type="dcterms:W3CDTF">2021-07-16T09:14:00Z</dcterms:created>
  <dcterms:modified xsi:type="dcterms:W3CDTF">2022-01-23T14:37:00Z</dcterms:modified>
</cp:coreProperties>
</file>